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6F662" w14:textId="430F9B3E" w:rsidR="00F7767F" w:rsidRDefault="00F7767F" w:rsidP="00F7767F">
      <w:pPr>
        <w:jc w:val="center"/>
        <w:rPr>
          <w:b/>
          <w:bCs/>
          <w:u w:val="single"/>
        </w:rPr>
      </w:pPr>
      <w:r>
        <w:rPr>
          <w:b/>
          <w:bCs/>
          <w:u w:val="single"/>
        </w:rPr>
        <w:t>Global Critical Infrastructure Guidance</w:t>
      </w:r>
      <w:r w:rsidR="007B7C56">
        <w:rPr>
          <w:b/>
          <w:bCs/>
          <w:u w:val="single"/>
        </w:rPr>
        <w:t>: Mexico and Canada</w:t>
      </w:r>
    </w:p>
    <w:p w14:paraId="68F4FFDE" w14:textId="6584D51A" w:rsidR="00374EF7" w:rsidRPr="00374EF7" w:rsidRDefault="00374EF7" w:rsidP="00F7767F">
      <w:pPr>
        <w:jc w:val="center"/>
        <w:rPr>
          <w:b/>
          <w:bCs/>
          <w:i/>
          <w:iCs/>
        </w:rPr>
      </w:pPr>
      <w:r w:rsidRPr="00374EF7">
        <w:rPr>
          <w:b/>
          <w:bCs/>
          <w:i/>
          <w:iCs/>
          <w:color w:val="FF0000"/>
        </w:rPr>
        <w:t xml:space="preserve">Updated </w:t>
      </w:r>
      <w:r w:rsidR="006F19D1">
        <w:rPr>
          <w:b/>
          <w:bCs/>
          <w:i/>
          <w:iCs/>
          <w:color w:val="FF0000"/>
        </w:rPr>
        <w:t xml:space="preserve">April </w:t>
      </w:r>
      <w:r w:rsidR="00F3772D">
        <w:rPr>
          <w:b/>
          <w:bCs/>
          <w:i/>
          <w:iCs/>
          <w:color w:val="FF0000"/>
        </w:rPr>
        <w:t>9</w:t>
      </w:r>
      <w:r w:rsidRPr="00374EF7">
        <w:rPr>
          <w:b/>
          <w:bCs/>
          <w:i/>
          <w:iCs/>
          <w:color w:val="FF0000"/>
        </w:rPr>
        <w:t>, 2020</w:t>
      </w:r>
    </w:p>
    <w:p w14:paraId="1FB72720" w14:textId="700A643F" w:rsidR="00F7767F" w:rsidRDefault="00F7767F">
      <w:pPr>
        <w:rPr>
          <w:b/>
          <w:bCs/>
          <w:u w:val="single"/>
        </w:rPr>
      </w:pPr>
    </w:p>
    <w:p w14:paraId="6CD4AAB3" w14:textId="77777777" w:rsidR="006F19D1" w:rsidRPr="009A3678" w:rsidRDefault="006F19D1" w:rsidP="006F19D1">
      <w:pPr>
        <w:rPr>
          <w:rFonts w:cstheme="minorHAnsi"/>
          <w:b/>
          <w:bCs/>
          <w:u w:val="single"/>
        </w:rPr>
      </w:pPr>
      <w:r w:rsidRPr="009A3678">
        <w:rPr>
          <w:rFonts w:cstheme="minorHAnsi"/>
          <w:b/>
          <w:bCs/>
          <w:u w:val="single"/>
        </w:rPr>
        <w:t>Mexico</w:t>
      </w:r>
      <w:r w:rsidRPr="009A3678">
        <w:rPr>
          <w:rFonts w:cstheme="minorHAnsi"/>
          <w:b/>
          <w:bCs/>
        </w:rPr>
        <w:t>:</w:t>
      </w:r>
    </w:p>
    <w:p w14:paraId="0FD61FF1" w14:textId="77777777" w:rsidR="00422CAC" w:rsidRDefault="006F19D1" w:rsidP="006F19D1">
      <w:pPr>
        <w:rPr>
          <w:rFonts w:cstheme="minorHAnsi"/>
        </w:rPr>
      </w:pPr>
      <w:r w:rsidRPr="009A3678">
        <w:rPr>
          <w:rFonts w:cstheme="minorHAnsi"/>
          <w:u w:val="single"/>
        </w:rPr>
        <w:t>Federal</w:t>
      </w:r>
      <w:r w:rsidRPr="009A3678">
        <w:rPr>
          <w:rFonts w:cstheme="minorHAnsi"/>
        </w:rPr>
        <w:t>:</w:t>
      </w:r>
    </w:p>
    <w:p w14:paraId="723D7ECD" w14:textId="089E577A" w:rsidR="00422CAC" w:rsidRDefault="006F19D1" w:rsidP="006F19D1">
      <w:pPr>
        <w:rPr>
          <w:rFonts w:cstheme="minorHAnsi"/>
        </w:rPr>
      </w:pPr>
      <w:r>
        <w:rPr>
          <w:rFonts w:cstheme="minorHAnsi"/>
        </w:rPr>
        <w:t xml:space="preserve">On March 31, </w:t>
      </w:r>
      <w:r w:rsidRPr="009A3678">
        <w:rPr>
          <w:rFonts w:cstheme="minorHAnsi"/>
          <w:color w:val="201F1E"/>
        </w:rPr>
        <w:t xml:space="preserve">Mexico released a decree regarding the health emergency declaration announced on </w:t>
      </w:r>
      <w:r>
        <w:rPr>
          <w:rFonts w:cstheme="minorHAnsi"/>
          <w:color w:val="201F1E"/>
        </w:rPr>
        <w:t>March 30</w:t>
      </w:r>
      <w:r w:rsidRPr="009A3678">
        <w:rPr>
          <w:rFonts w:cstheme="minorHAnsi"/>
          <w:color w:val="201F1E"/>
        </w:rPr>
        <w:t xml:space="preserve">: </w:t>
      </w:r>
      <w:hyperlink r:id="rId5" w:history="1">
        <w:r w:rsidRPr="009A3678">
          <w:rPr>
            <w:rStyle w:val="Hyperlink"/>
            <w:rFonts w:cstheme="minorHAnsi"/>
          </w:rPr>
          <w:t>click here</w:t>
        </w:r>
      </w:hyperlink>
      <w:r w:rsidRPr="009A3678">
        <w:rPr>
          <w:rFonts w:cstheme="minorHAnsi"/>
          <w:color w:val="201F1E"/>
        </w:rPr>
        <w:t xml:space="preserve"> for a copy of the decree and </w:t>
      </w:r>
      <w:hyperlink r:id="rId6" w:history="1">
        <w:r w:rsidRPr="009A3678">
          <w:rPr>
            <w:rStyle w:val="Hyperlink"/>
            <w:rFonts w:cstheme="minorHAnsi"/>
          </w:rPr>
          <w:t>click here</w:t>
        </w:r>
      </w:hyperlink>
      <w:r w:rsidRPr="009A3678">
        <w:rPr>
          <w:rFonts w:cstheme="minorHAnsi"/>
          <w:color w:val="201F1E"/>
        </w:rPr>
        <w:t xml:space="preserve"> for a</w:t>
      </w:r>
      <w:r>
        <w:rPr>
          <w:rFonts w:cstheme="minorHAnsi"/>
          <w:color w:val="201F1E"/>
        </w:rPr>
        <w:t xml:space="preserve">n </w:t>
      </w:r>
      <w:r w:rsidRPr="009A3678">
        <w:rPr>
          <w:rFonts w:cstheme="minorHAnsi"/>
          <w:color w:val="201F1E"/>
        </w:rPr>
        <w:t>unofficial En</w:t>
      </w:r>
      <w:bookmarkStart w:id="0" w:name="_GoBack"/>
      <w:bookmarkEnd w:id="0"/>
      <w:r w:rsidRPr="009A3678">
        <w:rPr>
          <w:rFonts w:cstheme="minorHAnsi"/>
          <w:color w:val="201F1E"/>
        </w:rPr>
        <w:t>glish translation.</w:t>
      </w:r>
    </w:p>
    <w:p w14:paraId="615AF07F" w14:textId="78C91C63" w:rsidR="00422CAC" w:rsidRDefault="00422CAC" w:rsidP="006F19D1">
      <w:pPr>
        <w:rPr>
          <w:rFonts w:cstheme="minorHAnsi"/>
        </w:rPr>
      </w:pPr>
    </w:p>
    <w:p w14:paraId="56530384" w14:textId="74C78E04" w:rsidR="00422CAC" w:rsidRPr="009A3678" w:rsidRDefault="00422CAC" w:rsidP="006F19D1">
      <w:pPr>
        <w:rPr>
          <w:rFonts w:cstheme="minorHAnsi"/>
        </w:rPr>
      </w:pPr>
      <w:r>
        <w:rPr>
          <w:rFonts w:cstheme="minorHAnsi"/>
        </w:rPr>
        <w:t xml:space="preserve">On April 6, Mexico released updated guidance regarding essential businesses in these sectors: </w:t>
      </w:r>
      <w:r w:rsidRPr="00422CAC">
        <w:rPr>
          <w:rFonts w:cstheme="minorHAnsi"/>
        </w:rPr>
        <w:t xml:space="preserve">steel, cement, glass production, courier services, coal mines and coal distribution. Please </w:t>
      </w:r>
      <w:hyperlink r:id="rId7" w:history="1">
        <w:r w:rsidRPr="00422CAC">
          <w:rPr>
            <w:rStyle w:val="Hyperlink"/>
            <w:rFonts w:cstheme="minorHAnsi"/>
          </w:rPr>
          <w:t>click here</w:t>
        </w:r>
      </w:hyperlink>
      <w:r w:rsidRPr="00422CAC">
        <w:rPr>
          <w:rFonts w:cstheme="minorHAnsi"/>
        </w:rPr>
        <w:t xml:space="preserve"> for a</w:t>
      </w:r>
      <w:r>
        <w:rPr>
          <w:rFonts w:cstheme="minorHAnsi"/>
        </w:rPr>
        <w:t xml:space="preserve"> copy of the updated guidance and </w:t>
      </w:r>
      <w:hyperlink r:id="rId8" w:history="1">
        <w:r w:rsidRPr="00422CAC">
          <w:rPr>
            <w:rStyle w:val="Hyperlink"/>
            <w:rFonts w:cstheme="minorHAnsi"/>
          </w:rPr>
          <w:t>click here</w:t>
        </w:r>
      </w:hyperlink>
      <w:r>
        <w:rPr>
          <w:rFonts w:cstheme="minorHAnsi"/>
        </w:rPr>
        <w:t xml:space="preserve"> for an </w:t>
      </w:r>
      <w:r w:rsidRPr="00422CAC">
        <w:rPr>
          <w:rFonts w:cstheme="minorHAnsi"/>
        </w:rPr>
        <w:t>unofficial English translation.</w:t>
      </w:r>
    </w:p>
    <w:p w14:paraId="2AF65A38" w14:textId="77777777" w:rsidR="006F19D1" w:rsidRPr="009A3678" w:rsidRDefault="006F19D1" w:rsidP="006F19D1">
      <w:pPr>
        <w:rPr>
          <w:rFonts w:cstheme="minorHAnsi"/>
        </w:rPr>
      </w:pPr>
    </w:p>
    <w:p w14:paraId="47EFDCA0" w14:textId="77777777" w:rsidR="006F19D1" w:rsidRDefault="006F19D1" w:rsidP="006F19D1">
      <w:r w:rsidRPr="00F95EDF">
        <w:rPr>
          <w:u w:val="single"/>
        </w:rPr>
        <w:t>States</w:t>
      </w:r>
      <w:r w:rsidRPr="00F95EDF">
        <w:t>:</w:t>
      </w:r>
      <w:r>
        <w:t xml:space="preserve"> </w:t>
      </w:r>
    </w:p>
    <w:p w14:paraId="57EFCE80" w14:textId="77777777" w:rsidR="006F19D1" w:rsidRDefault="006F19D1" w:rsidP="006F19D1">
      <w:pPr>
        <w:pStyle w:val="ListParagraph"/>
        <w:numPr>
          <w:ilvl w:val="0"/>
          <w:numId w:val="1"/>
        </w:numPr>
      </w:pPr>
      <w:r w:rsidRPr="003B6E53">
        <w:rPr>
          <w:u w:val="single"/>
        </w:rPr>
        <w:t>Sonora</w:t>
      </w:r>
      <w:r>
        <w:t xml:space="preserve">: </w:t>
      </w:r>
      <w:hyperlink r:id="rId9" w:history="1">
        <w:r w:rsidRPr="003B6E53">
          <w:rPr>
            <w:rStyle w:val="Hyperlink"/>
          </w:rPr>
          <w:t>March 25 order</w:t>
        </w:r>
      </w:hyperlink>
    </w:p>
    <w:p w14:paraId="25D1DF51" w14:textId="77777777" w:rsidR="006F19D1" w:rsidRDefault="006F19D1" w:rsidP="006F19D1">
      <w:pPr>
        <w:pStyle w:val="ListParagraph"/>
        <w:numPr>
          <w:ilvl w:val="0"/>
          <w:numId w:val="1"/>
        </w:numPr>
      </w:pPr>
      <w:r>
        <w:rPr>
          <w:u w:val="single"/>
        </w:rPr>
        <w:t>Coahuila</w:t>
      </w:r>
      <w:r>
        <w:t xml:space="preserve">: </w:t>
      </w:r>
      <w:hyperlink r:id="rId10" w:history="1">
        <w:r w:rsidRPr="00CE022D">
          <w:rPr>
            <w:rStyle w:val="Hyperlink"/>
          </w:rPr>
          <w:t>March 24 order</w:t>
        </w:r>
      </w:hyperlink>
      <w:r>
        <w:t xml:space="preserve"> and </w:t>
      </w:r>
      <w:hyperlink r:id="rId11" w:history="1">
        <w:r w:rsidRPr="00CE022D">
          <w:rPr>
            <w:rStyle w:val="Hyperlink"/>
          </w:rPr>
          <w:t>March 19 order</w:t>
        </w:r>
      </w:hyperlink>
      <w:r>
        <w:t xml:space="preserve"> – guidance includes very specific guidance for factory operations.</w:t>
      </w:r>
    </w:p>
    <w:p w14:paraId="7F70DF98" w14:textId="77777777" w:rsidR="006F19D1" w:rsidRPr="00B25477" w:rsidRDefault="006F19D1" w:rsidP="006F19D1">
      <w:pPr>
        <w:pStyle w:val="ListParagraph"/>
        <w:numPr>
          <w:ilvl w:val="0"/>
          <w:numId w:val="1"/>
        </w:numPr>
      </w:pPr>
      <w:r>
        <w:t xml:space="preserve">Nuevo León: </w:t>
      </w:r>
      <w:hyperlink r:id="rId12" w:history="1">
        <w:r w:rsidRPr="00CE022D">
          <w:rPr>
            <w:rStyle w:val="Hyperlink"/>
          </w:rPr>
          <w:t>March 23 order</w:t>
        </w:r>
      </w:hyperlink>
      <w:r>
        <w:t xml:space="preserve"> and </w:t>
      </w:r>
      <w:hyperlink r:id="rId13" w:history="1">
        <w:r w:rsidRPr="00CE022D">
          <w:rPr>
            <w:rStyle w:val="Hyperlink"/>
          </w:rPr>
          <w:t>March 19 order</w:t>
        </w:r>
      </w:hyperlink>
    </w:p>
    <w:p w14:paraId="283EBAC3" w14:textId="77777777" w:rsidR="006F19D1" w:rsidRPr="00B25477" w:rsidRDefault="006F19D1" w:rsidP="006F19D1">
      <w:pPr>
        <w:pStyle w:val="ListParagraph"/>
        <w:numPr>
          <w:ilvl w:val="0"/>
          <w:numId w:val="1"/>
        </w:numPr>
      </w:pPr>
      <w:r w:rsidRPr="00F95EDF">
        <w:rPr>
          <w:u w:val="single"/>
        </w:rPr>
        <w:t>Chihuahua</w:t>
      </w:r>
      <w:r>
        <w:t xml:space="preserve">: </w:t>
      </w:r>
      <w:hyperlink r:id="rId14" w:history="1">
        <w:r>
          <w:rPr>
            <w:rStyle w:val="Hyperlink"/>
          </w:rPr>
          <w:t>March 25 o</w:t>
        </w:r>
        <w:r w:rsidRPr="0028666A">
          <w:rPr>
            <w:rStyle w:val="Hyperlink"/>
          </w:rPr>
          <w:t>rder</w:t>
        </w:r>
      </w:hyperlink>
      <w:r>
        <w:t xml:space="preserve"> that appears to allow continued operation of the manufacturing industry, while imposing restrictions on public gatherings and other activities.</w:t>
      </w:r>
    </w:p>
    <w:p w14:paraId="42059FEA" w14:textId="77777777" w:rsidR="006F19D1" w:rsidRDefault="006F19D1">
      <w:pPr>
        <w:rPr>
          <w:b/>
          <w:bCs/>
          <w:u w:val="single"/>
        </w:rPr>
      </w:pPr>
    </w:p>
    <w:p w14:paraId="3892D552" w14:textId="18C3B8D5" w:rsidR="004B5D9B" w:rsidRDefault="00F7767F">
      <w:pPr>
        <w:rPr>
          <w:b/>
          <w:bCs/>
        </w:rPr>
      </w:pPr>
      <w:r w:rsidRPr="00F7767F">
        <w:rPr>
          <w:b/>
          <w:bCs/>
          <w:u w:val="single"/>
        </w:rPr>
        <w:t>Canada</w:t>
      </w:r>
      <w:r w:rsidRPr="00F7767F">
        <w:rPr>
          <w:b/>
          <w:bCs/>
        </w:rPr>
        <w:t>:</w:t>
      </w:r>
    </w:p>
    <w:p w14:paraId="7A9E8E0A" w14:textId="49E832C8" w:rsidR="006F19D1" w:rsidRPr="006F19D1" w:rsidRDefault="0072188C">
      <w:pPr>
        <w:rPr>
          <w:rFonts w:cstheme="minorHAnsi"/>
        </w:rPr>
      </w:pPr>
      <w:r w:rsidRPr="006F19D1">
        <w:rPr>
          <w:rFonts w:cstheme="minorHAnsi"/>
          <w:u w:val="single"/>
        </w:rPr>
        <w:t>Federal</w:t>
      </w:r>
      <w:r w:rsidRPr="006F19D1">
        <w:rPr>
          <w:rFonts w:cstheme="minorHAnsi"/>
        </w:rPr>
        <w:t xml:space="preserve">: </w:t>
      </w:r>
      <w:r w:rsidR="006F19D1" w:rsidRPr="006F19D1">
        <w:rPr>
          <w:rFonts w:cstheme="minorHAnsi"/>
          <w:color w:val="201F1E"/>
        </w:rPr>
        <w:t xml:space="preserve">On April 2, the Canadian federal government issued </w:t>
      </w:r>
      <w:hyperlink r:id="rId15" w:history="1">
        <w:r w:rsidR="006F19D1" w:rsidRPr="006F19D1">
          <w:rPr>
            <w:rStyle w:val="Hyperlink"/>
            <w:rFonts w:cstheme="minorHAnsi"/>
          </w:rPr>
          <w:t>non-binding guidance</w:t>
        </w:r>
      </w:hyperlink>
      <w:r w:rsidR="006F19D1" w:rsidRPr="006F19D1">
        <w:rPr>
          <w:rFonts w:cstheme="minorHAnsi"/>
          <w:color w:val="201F1E"/>
        </w:rPr>
        <w:t xml:space="preserve"> with a list of services and functions across 10 critical infrastructure sectors, including but not limited to manufacturing</w:t>
      </w:r>
      <w:r w:rsidR="006F19D1">
        <w:rPr>
          <w:rFonts w:cstheme="minorHAnsi"/>
          <w:color w:val="201F1E"/>
        </w:rPr>
        <w:t xml:space="preserve">, </w:t>
      </w:r>
      <w:r w:rsidR="006F19D1" w:rsidRPr="006F19D1">
        <w:rPr>
          <w:rFonts w:cstheme="minorHAnsi"/>
          <w:color w:val="201F1E"/>
        </w:rPr>
        <w:t>energy, information and communication technologies, health, food and transportation.</w:t>
      </w:r>
    </w:p>
    <w:p w14:paraId="1983FB61" w14:textId="77777777" w:rsidR="00F7767F" w:rsidRDefault="00F7767F" w:rsidP="00F7767F"/>
    <w:p w14:paraId="186DAFA2" w14:textId="1366EC9D" w:rsidR="00F7767F" w:rsidRDefault="00F7767F" w:rsidP="00F7767F">
      <w:r>
        <w:rPr>
          <w:u w:val="single"/>
        </w:rPr>
        <w:t>Provinces</w:t>
      </w:r>
      <w:r>
        <w:t>:</w:t>
      </w:r>
    </w:p>
    <w:p w14:paraId="446C7178" w14:textId="6081336F" w:rsidR="000823D0" w:rsidRDefault="00F7767F" w:rsidP="00F7767F">
      <w:pPr>
        <w:pStyle w:val="ListParagraph"/>
        <w:numPr>
          <w:ilvl w:val="0"/>
          <w:numId w:val="1"/>
        </w:numPr>
      </w:pPr>
      <w:r w:rsidRPr="00F7767F">
        <w:rPr>
          <w:u w:val="single"/>
        </w:rPr>
        <w:t>Quebec</w:t>
      </w:r>
      <w:r>
        <w:t xml:space="preserve">: </w:t>
      </w:r>
      <w:hyperlink r:id="rId16" w:anchor="c48423" w:history="1">
        <w:r w:rsidR="000823D0" w:rsidRPr="000823D0">
          <w:rPr>
            <w:rStyle w:val="Hyperlink"/>
          </w:rPr>
          <w:t>Order effective March 25 until April 13</w:t>
        </w:r>
      </w:hyperlink>
      <w:r w:rsidR="000823D0">
        <w:t xml:space="preserve"> that minimizes non-priority services and activities, and defines priority manufacturing activities as follows:</w:t>
      </w:r>
    </w:p>
    <w:p w14:paraId="0BC6E543" w14:textId="77777777" w:rsidR="000823D0" w:rsidRDefault="000823D0" w:rsidP="000823D0">
      <w:pPr>
        <w:pStyle w:val="ListParagraph"/>
        <w:numPr>
          <w:ilvl w:val="1"/>
          <w:numId w:val="1"/>
        </w:numPr>
      </w:pPr>
      <w:r>
        <w:t>Food production (for example agricultural operations, food processing, drink production, slaughterhouses, market-garden vegetable production</w:t>
      </w:r>
    </w:p>
    <w:p w14:paraId="6855FF4C" w14:textId="77777777" w:rsidR="000823D0" w:rsidRDefault="000823D0" w:rsidP="000823D0">
      <w:pPr>
        <w:pStyle w:val="ListParagraph"/>
        <w:numPr>
          <w:ilvl w:val="1"/>
          <w:numId w:val="1"/>
        </w:numPr>
      </w:pPr>
      <w:r>
        <w:t>Production of inputs necessary for priority sectors</w:t>
      </w:r>
    </w:p>
    <w:p w14:paraId="462FFD25" w14:textId="77777777" w:rsidR="000823D0" w:rsidRDefault="000823D0" w:rsidP="000823D0">
      <w:pPr>
        <w:pStyle w:val="ListParagraph"/>
        <w:numPr>
          <w:ilvl w:val="1"/>
          <w:numId w:val="1"/>
        </w:numPr>
      </w:pPr>
      <w:r>
        <w:t>Pulp and paper sector</w:t>
      </w:r>
    </w:p>
    <w:p w14:paraId="3A0F5BEB" w14:textId="77777777" w:rsidR="000823D0" w:rsidRDefault="000823D0" w:rsidP="000823D0">
      <w:pPr>
        <w:pStyle w:val="ListParagraph"/>
        <w:numPr>
          <w:ilvl w:val="1"/>
          <w:numId w:val="1"/>
        </w:numPr>
      </w:pPr>
      <w:r>
        <w:t>Manufacture of medical instruments</w:t>
      </w:r>
    </w:p>
    <w:p w14:paraId="7A461A4A" w14:textId="77777777" w:rsidR="000823D0" w:rsidRDefault="000823D0" w:rsidP="000823D0">
      <w:pPr>
        <w:pStyle w:val="ListParagraph"/>
        <w:numPr>
          <w:ilvl w:val="1"/>
          <w:numId w:val="1"/>
        </w:numPr>
      </w:pPr>
      <w:r>
        <w:t>Manufacture of chemicals</w:t>
      </w:r>
    </w:p>
    <w:p w14:paraId="6E6B7381" w14:textId="77777777" w:rsidR="000823D0" w:rsidRDefault="000823D0" w:rsidP="000823D0">
      <w:pPr>
        <w:pStyle w:val="ListParagraph"/>
        <w:numPr>
          <w:ilvl w:val="1"/>
          <w:numId w:val="1"/>
        </w:numPr>
      </w:pPr>
      <w:r>
        <w:t>Manufacture of sanitary products</w:t>
      </w:r>
    </w:p>
    <w:p w14:paraId="2B3B07FD" w14:textId="77777777" w:rsidR="000823D0" w:rsidRDefault="000823D0" w:rsidP="000823D0">
      <w:pPr>
        <w:pStyle w:val="ListParagraph"/>
        <w:numPr>
          <w:ilvl w:val="1"/>
          <w:numId w:val="1"/>
        </w:numPr>
      </w:pPr>
      <w:r>
        <w:t>Manufacture of micro-electronic components</w:t>
      </w:r>
    </w:p>
    <w:p w14:paraId="12AE2C96" w14:textId="77777777" w:rsidR="000823D0" w:rsidRDefault="000823D0" w:rsidP="000823D0">
      <w:pPr>
        <w:pStyle w:val="ListParagraph"/>
        <w:numPr>
          <w:ilvl w:val="1"/>
          <w:numId w:val="1"/>
        </w:numPr>
      </w:pPr>
      <w:r>
        <w:t>Industrial facilities (</w:t>
      </w:r>
      <w:proofErr w:type="gramStart"/>
      <w:r>
        <w:t>in particular in</w:t>
      </w:r>
      <w:proofErr w:type="gramEnd"/>
      <w:r>
        <w:t xml:space="preserve"> the aluminum sector) and mining facilities, which must reduce their activities to a minimum</w:t>
      </w:r>
    </w:p>
    <w:p w14:paraId="63B51C12" w14:textId="531A7122" w:rsidR="00F7767F" w:rsidRDefault="000823D0" w:rsidP="000823D0">
      <w:pPr>
        <w:pStyle w:val="ListParagraph"/>
        <w:numPr>
          <w:ilvl w:val="1"/>
          <w:numId w:val="1"/>
        </w:numPr>
      </w:pPr>
      <w:r>
        <w:t>Manufacturing and maintenance in the defense sector</w:t>
      </w:r>
    </w:p>
    <w:p w14:paraId="38731140" w14:textId="77777777" w:rsidR="0055651B" w:rsidRDefault="0055651B" w:rsidP="0055651B">
      <w:pPr>
        <w:pStyle w:val="ListParagraph"/>
        <w:ind w:left="1440"/>
      </w:pPr>
    </w:p>
    <w:p w14:paraId="497C9BD7" w14:textId="41C51C20" w:rsidR="0055651B" w:rsidRDefault="00F7767F" w:rsidP="00F7767F">
      <w:pPr>
        <w:pStyle w:val="ListParagraph"/>
        <w:numPr>
          <w:ilvl w:val="0"/>
          <w:numId w:val="1"/>
        </w:numPr>
      </w:pPr>
      <w:r w:rsidRPr="00F7767F">
        <w:rPr>
          <w:u w:val="single"/>
        </w:rPr>
        <w:t>Ontario</w:t>
      </w:r>
      <w:r>
        <w:t xml:space="preserve">: </w:t>
      </w:r>
      <w:hyperlink r:id="rId17" w:anchor="section-6" w:history="1">
        <w:r w:rsidR="000823D0" w:rsidRPr="0055651B">
          <w:rPr>
            <w:rStyle w:val="Hyperlink"/>
          </w:rPr>
          <w:t xml:space="preserve">Order </w:t>
        </w:r>
        <w:r w:rsidR="004856F8">
          <w:rPr>
            <w:rStyle w:val="Hyperlink"/>
          </w:rPr>
          <w:t>updated April 3</w:t>
        </w:r>
      </w:hyperlink>
      <w:r w:rsidR="000823D0">
        <w:t xml:space="preserve"> (</w:t>
      </w:r>
      <w:r w:rsidR="004856F8">
        <w:t>originally published March 23</w:t>
      </w:r>
      <w:r w:rsidR="000823D0">
        <w:t>) that lists essential workplaces</w:t>
      </w:r>
      <w:r w:rsidR="0055651B">
        <w:t>, including but not limited to the following (review the link for the complete list</w:t>
      </w:r>
      <w:r w:rsidR="004856F8">
        <w:t>):</w:t>
      </w:r>
    </w:p>
    <w:p w14:paraId="14D8DE0E" w14:textId="41D4C673" w:rsidR="004856F8" w:rsidRDefault="004856F8" w:rsidP="004856F8">
      <w:pPr>
        <w:pStyle w:val="ListParagraph"/>
        <w:numPr>
          <w:ilvl w:val="1"/>
          <w:numId w:val="1"/>
        </w:numPr>
      </w:pPr>
      <w:r w:rsidRPr="004856F8">
        <w:t xml:space="preserve">Businesses that extract, manufacture, process and distribute goods, products, equipment and materials, including businesses that manufacture inputs to other manufacturers, (e.g. primary metal/ steel, blow molding, component manufacturers, chemicals, etc. that feed the end-product manufacturer), regardless of whether those other manufacturers are inside or outside of Ontario, together with businesses that </w:t>
      </w:r>
      <w:r w:rsidRPr="004856F8">
        <w:lastRenderedPageBreak/>
        <w:t>support and facilitate the movement of goods within integrated North American and global supply chains.</w:t>
      </w:r>
    </w:p>
    <w:p w14:paraId="0EDD5A51" w14:textId="77777777" w:rsidR="004856F8" w:rsidRDefault="004856F8" w:rsidP="004856F8">
      <w:pPr>
        <w:pStyle w:val="ListParagraph"/>
        <w:numPr>
          <w:ilvl w:val="1"/>
          <w:numId w:val="1"/>
        </w:numPr>
      </w:pPr>
      <w:r>
        <w:t>Businesses that produce food and beverages, and agricultural products including plants, including by farming, harvesting, aquaculture, hunting and fishing.</w:t>
      </w:r>
    </w:p>
    <w:p w14:paraId="5CDEA18D" w14:textId="77777777" w:rsidR="004856F8" w:rsidRDefault="004856F8" w:rsidP="004856F8">
      <w:pPr>
        <w:pStyle w:val="ListParagraph"/>
        <w:numPr>
          <w:ilvl w:val="1"/>
          <w:numId w:val="1"/>
        </w:numPr>
      </w:pPr>
      <w:r>
        <w:t>Businesses that process, manufacture or distribute food, beverages, crops, agricultural products, animal products and by-products.</w:t>
      </w:r>
    </w:p>
    <w:p w14:paraId="1ACE06EA" w14:textId="6B77AB45" w:rsidR="004856F8" w:rsidRDefault="004856F8" w:rsidP="004856F8">
      <w:pPr>
        <w:pStyle w:val="ListParagraph"/>
        <w:numPr>
          <w:ilvl w:val="1"/>
          <w:numId w:val="1"/>
        </w:numPr>
      </w:pPr>
      <w:r>
        <w:t>Businesses that support the food or agricultural products supply chains and the health and safety of food, animals and plants.</w:t>
      </w:r>
    </w:p>
    <w:p w14:paraId="3109427A" w14:textId="77777777" w:rsidR="004856F8" w:rsidRDefault="004856F8" w:rsidP="004856F8">
      <w:pPr>
        <w:pStyle w:val="ListParagraph"/>
        <w:numPr>
          <w:ilvl w:val="1"/>
          <w:numId w:val="1"/>
        </w:numPr>
      </w:pPr>
      <w:r>
        <w:t>Businesses that provide and ensure the domestic and global continuity of supply of resources, including mining, forestry, aggregates, petroleum, petroleum by-products and chemicals.</w:t>
      </w:r>
    </w:p>
    <w:p w14:paraId="68F272D2" w14:textId="27C949F1" w:rsidR="004856F8" w:rsidRDefault="004856F8" w:rsidP="004856F8">
      <w:pPr>
        <w:pStyle w:val="ListParagraph"/>
        <w:numPr>
          <w:ilvl w:val="1"/>
          <w:numId w:val="1"/>
        </w:numPr>
      </w:pPr>
      <w:r>
        <w:t>Electricity generation, transmission, distribution and storage and natural gas distribution, transmission and storage.</w:t>
      </w:r>
    </w:p>
    <w:p w14:paraId="4B64D9C3" w14:textId="77777777" w:rsidR="004856F8" w:rsidRDefault="004856F8" w:rsidP="004856F8">
      <w:pPr>
        <w:pStyle w:val="ListParagraph"/>
        <w:numPr>
          <w:ilvl w:val="1"/>
          <w:numId w:val="1"/>
        </w:numPr>
      </w:pPr>
      <w:r>
        <w:t>Manufacturers, wholesalers, distributors and retailers of pharmaceutical products and medical supplies, including medications, medical isotopes, vaccines and antivirals, medical devices and medical supplies.</w:t>
      </w:r>
    </w:p>
    <w:p w14:paraId="70265A4B" w14:textId="7702EA00" w:rsidR="004856F8" w:rsidRDefault="004856F8" w:rsidP="004856F8">
      <w:pPr>
        <w:pStyle w:val="ListParagraph"/>
        <w:numPr>
          <w:ilvl w:val="1"/>
          <w:numId w:val="1"/>
        </w:numPr>
      </w:pPr>
      <w:r>
        <w:t>Manufacturers, distributors and businesses that provide logistical support of or for products and/or services that support the delivery of health care in all locations.</w:t>
      </w:r>
    </w:p>
    <w:p w14:paraId="3DDFF082" w14:textId="77777777" w:rsidR="0055651B" w:rsidRPr="0055651B" w:rsidRDefault="0055651B" w:rsidP="0055651B">
      <w:pPr>
        <w:pStyle w:val="ListParagraph"/>
        <w:ind w:left="1440"/>
        <w:rPr>
          <w:rStyle w:val="Hyperlink"/>
          <w:color w:val="auto"/>
          <w:u w:val="none"/>
        </w:rPr>
      </w:pPr>
    </w:p>
    <w:p w14:paraId="61F8097A" w14:textId="25C12A3C" w:rsidR="00A93193" w:rsidRDefault="00A93193" w:rsidP="000823D0">
      <w:pPr>
        <w:pStyle w:val="ListParagraph"/>
        <w:numPr>
          <w:ilvl w:val="0"/>
          <w:numId w:val="1"/>
        </w:numPr>
      </w:pPr>
      <w:r w:rsidRPr="00A93193">
        <w:rPr>
          <w:u w:val="single"/>
        </w:rPr>
        <w:t>British Columbia</w:t>
      </w:r>
      <w:r>
        <w:t xml:space="preserve">: </w:t>
      </w:r>
      <w:hyperlink r:id="rId18" w:history="1">
        <w:r w:rsidRPr="00A93193">
          <w:rPr>
            <w:rStyle w:val="Hyperlink"/>
          </w:rPr>
          <w:t>March 26 Minister of Public Safety and Solicitor General order</w:t>
        </w:r>
      </w:hyperlink>
      <w:r>
        <w:t xml:space="preserve"> that lists essential services, including but not limited to the following (review the link for the complete list):</w:t>
      </w:r>
    </w:p>
    <w:p w14:paraId="04E75C6C" w14:textId="0672A237" w:rsidR="00A93193" w:rsidRDefault="00A93193" w:rsidP="00A93193">
      <w:pPr>
        <w:pStyle w:val="ListParagraph"/>
        <w:numPr>
          <w:ilvl w:val="1"/>
          <w:numId w:val="1"/>
        </w:numPr>
      </w:pPr>
      <w:r>
        <w:t>Manufacturers and distributors (to include service centers and related operations) of packaging materials, pallets, crates, containers and other supplies needed to support manufacturing, packaging staging and distribution operations</w:t>
      </w:r>
    </w:p>
    <w:p w14:paraId="7BC4AB73" w14:textId="0EE1C5EC" w:rsidR="00A93193" w:rsidRDefault="00A93193" w:rsidP="00A93193">
      <w:pPr>
        <w:pStyle w:val="ListParagraph"/>
        <w:numPr>
          <w:ilvl w:val="1"/>
          <w:numId w:val="1"/>
        </w:numPr>
      </w:pPr>
      <w:r>
        <w:t>Workers supporting the chemical and industrial gas supply chains, including workers at chemical manufacturing plants, workers in laboratories, workers at distribution facilities, workers who transport basic raw chemical materials to the producers of industrial and consumer goods and support the natural resource sector, as well as workers supporting safety at such facilities</w:t>
      </w:r>
    </w:p>
    <w:p w14:paraId="5F3C667D" w14:textId="79D8D7F5" w:rsidR="00A93193" w:rsidRDefault="00A93193" w:rsidP="00A93193">
      <w:pPr>
        <w:pStyle w:val="ListParagraph"/>
        <w:numPr>
          <w:ilvl w:val="1"/>
          <w:numId w:val="1"/>
        </w:numPr>
      </w:pPr>
      <w:r>
        <w:t>Businesses that extract, manufacture, process and distribute goods, products, equipment and materials, including businesses that manufacture inputs to other manufacturers (e.g., primary metal/steel, blow molding, component manufacturers, chemicals, etc., that feed the end-product manufacturer)</w:t>
      </w:r>
    </w:p>
    <w:p w14:paraId="09BBC955" w14:textId="59FBCC3D" w:rsidR="00A93193" w:rsidRDefault="00A93193" w:rsidP="00A93193">
      <w:pPr>
        <w:pStyle w:val="ListParagraph"/>
        <w:numPr>
          <w:ilvl w:val="1"/>
          <w:numId w:val="1"/>
        </w:numPr>
      </w:pPr>
      <w:r>
        <w:t>Food cultivation, including farming, livestock, aquaculture and fishing, and businesses that support the food supply chain, as well as community gardens and subsistence agriculture</w:t>
      </w:r>
    </w:p>
    <w:p w14:paraId="1BE1C746" w14:textId="33877122" w:rsidR="00A93193" w:rsidRDefault="00A93193" w:rsidP="00A93193">
      <w:pPr>
        <w:pStyle w:val="ListParagraph"/>
        <w:numPr>
          <w:ilvl w:val="1"/>
          <w:numId w:val="1"/>
        </w:numPr>
      </w:pPr>
      <w:r>
        <w:t>Food processing, manufacturing, storage and distribution of foods, feed products and beverages</w:t>
      </w:r>
    </w:p>
    <w:p w14:paraId="39A85821" w14:textId="77777777" w:rsidR="00D45FFC" w:rsidRDefault="00D45FFC" w:rsidP="006F19D1"/>
    <w:p w14:paraId="0CE3F28F" w14:textId="77777777" w:rsidR="00A93193" w:rsidRDefault="00A93193" w:rsidP="00A93193">
      <w:pPr>
        <w:pStyle w:val="ListParagraph"/>
        <w:numPr>
          <w:ilvl w:val="0"/>
          <w:numId w:val="1"/>
        </w:numPr>
      </w:pPr>
      <w:r w:rsidRPr="00A93193">
        <w:rPr>
          <w:u w:val="single"/>
        </w:rPr>
        <w:t>Prince Edward Island</w:t>
      </w:r>
      <w:r>
        <w:t xml:space="preserve">: </w:t>
      </w:r>
      <w:hyperlink r:id="rId19" w:history="1">
        <w:r w:rsidRPr="00A93193">
          <w:rPr>
            <w:rStyle w:val="Hyperlink"/>
          </w:rPr>
          <w:t>March 25 order</w:t>
        </w:r>
      </w:hyperlink>
      <w:r>
        <w:t xml:space="preserve"> that defines:</w:t>
      </w:r>
    </w:p>
    <w:p w14:paraId="7943B72F" w14:textId="1FDD1997" w:rsidR="00A93193" w:rsidRDefault="00A93193" w:rsidP="00A93193">
      <w:pPr>
        <w:pStyle w:val="ListParagraph"/>
        <w:numPr>
          <w:ilvl w:val="1"/>
          <w:numId w:val="1"/>
        </w:numPr>
      </w:pPr>
      <w:r w:rsidRPr="0072188C">
        <w:t>E</w:t>
      </w:r>
      <w:r>
        <w:t>ssential services as “</w:t>
      </w:r>
      <w:r w:rsidRPr="00A93193">
        <w:t>services that the interruption of which would endanger the life, health or personal safety of the whole or part of the population</w:t>
      </w:r>
      <w:r>
        <w:t>,” including:</w:t>
      </w:r>
    </w:p>
    <w:p w14:paraId="5ABDB02A" w14:textId="2983625E" w:rsidR="00A93193" w:rsidRDefault="00A93193" w:rsidP="00A93193">
      <w:pPr>
        <w:pStyle w:val="ListParagraph"/>
        <w:numPr>
          <w:ilvl w:val="2"/>
          <w:numId w:val="1"/>
        </w:numPr>
      </w:pPr>
      <w:r>
        <w:t>Food manufacturers</w:t>
      </w:r>
    </w:p>
    <w:p w14:paraId="30616B0B" w14:textId="40C86A16" w:rsidR="00A93193" w:rsidRDefault="00A93193" w:rsidP="00A93193">
      <w:pPr>
        <w:pStyle w:val="ListParagraph"/>
        <w:numPr>
          <w:ilvl w:val="2"/>
          <w:numId w:val="1"/>
        </w:numPr>
      </w:pPr>
      <w:r>
        <w:t>Industrial manufacturers</w:t>
      </w:r>
    </w:p>
    <w:p w14:paraId="1A2F58AB" w14:textId="1D212BCB" w:rsidR="00A93193" w:rsidRDefault="00A93193" w:rsidP="00A93193">
      <w:pPr>
        <w:pStyle w:val="ListParagraph"/>
        <w:numPr>
          <w:ilvl w:val="1"/>
          <w:numId w:val="1"/>
        </w:numPr>
      </w:pPr>
      <w:r>
        <w:t>Non-essential services as “</w:t>
      </w:r>
      <w:r w:rsidRPr="00A93193">
        <w:t>services not providing food supplies, health, financial support or utilities and when not offered to the public will not impact life, health or personal safety</w:t>
      </w:r>
      <w:r>
        <w:t>.”</w:t>
      </w:r>
    </w:p>
    <w:p w14:paraId="651C9DD9" w14:textId="77777777" w:rsidR="00A93193" w:rsidRPr="00A93193" w:rsidRDefault="00A93193" w:rsidP="00A93193">
      <w:pPr>
        <w:pStyle w:val="ListParagraph"/>
      </w:pPr>
    </w:p>
    <w:p w14:paraId="365E3305" w14:textId="291605AF" w:rsidR="0072188C" w:rsidRDefault="0072188C" w:rsidP="000823D0">
      <w:pPr>
        <w:pStyle w:val="ListParagraph"/>
        <w:numPr>
          <w:ilvl w:val="0"/>
          <w:numId w:val="1"/>
        </w:numPr>
      </w:pPr>
      <w:r w:rsidRPr="0072188C">
        <w:rPr>
          <w:u w:val="single"/>
        </w:rPr>
        <w:t>New Brunswick</w:t>
      </w:r>
      <w:r>
        <w:t xml:space="preserve">: </w:t>
      </w:r>
      <w:bookmarkStart w:id="1" w:name="_Hlk36506404"/>
      <w:r w:rsidR="00523E48">
        <w:fldChar w:fldCharType="begin"/>
      </w:r>
      <w:r w:rsidR="00523E48">
        <w:instrText xml:space="preserve"> HYPERLINK "https://www2.gnb.ca/content/dam/gnb/Corporate/pdf/EmergencyUrgence19.pdf" </w:instrText>
      </w:r>
      <w:r w:rsidR="00523E48">
        <w:fldChar w:fldCharType="separate"/>
      </w:r>
      <w:r w:rsidRPr="0072188C">
        <w:rPr>
          <w:rStyle w:val="Hyperlink"/>
        </w:rPr>
        <w:t>March 25 order</w:t>
      </w:r>
      <w:r w:rsidR="00523E48">
        <w:rPr>
          <w:rStyle w:val="Hyperlink"/>
        </w:rPr>
        <w:fldChar w:fldCharType="end"/>
      </w:r>
      <w:bookmarkEnd w:id="1"/>
      <w:r>
        <w:t xml:space="preserve"> that allows some businesses (</w:t>
      </w:r>
      <w:r w:rsidR="00F37169">
        <w:t>i</w:t>
      </w:r>
      <w:r>
        <w:t>ncluding those listed below) to remain open, provided that owners and managers take every reasonable step to ensure minimal interaction of people within 2 meters of each other, comply with advice to minimize risk as issued by the Chief Medical Officer of Health, and take every reasonable step required to prevent persons who exhibit COVID-19 symptoms from entering the workplace, as well as restrictions regarding those who have travelled internationally:</w:t>
      </w:r>
    </w:p>
    <w:p w14:paraId="0861381A" w14:textId="3FFC8164" w:rsidR="0072188C" w:rsidRDefault="0072188C" w:rsidP="0072188C">
      <w:pPr>
        <w:pStyle w:val="ListParagraph"/>
        <w:numPr>
          <w:ilvl w:val="1"/>
          <w:numId w:val="1"/>
        </w:numPr>
      </w:pPr>
      <w:r>
        <w:t>Food processing and food packing operations</w:t>
      </w:r>
    </w:p>
    <w:p w14:paraId="4A71C53F" w14:textId="4275F8EC" w:rsidR="0072188C" w:rsidRDefault="0072188C" w:rsidP="0072188C">
      <w:pPr>
        <w:pStyle w:val="ListParagraph"/>
        <w:numPr>
          <w:ilvl w:val="1"/>
          <w:numId w:val="1"/>
        </w:numPr>
      </w:pPr>
      <w:r>
        <w:t>Production and manufacturing operations</w:t>
      </w:r>
    </w:p>
    <w:p w14:paraId="42DB484E" w14:textId="3C676EB2" w:rsidR="0072188C" w:rsidRDefault="0072188C" w:rsidP="0072188C"/>
    <w:p w14:paraId="41C3BA0D" w14:textId="15BA0498" w:rsidR="0072188C" w:rsidRDefault="0072188C" w:rsidP="0072188C">
      <w:pPr>
        <w:pStyle w:val="ListParagraph"/>
        <w:numPr>
          <w:ilvl w:val="0"/>
          <w:numId w:val="1"/>
        </w:numPr>
      </w:pPr>
      <w:bookmarkStart w:id="2" w:name="_Hlk36506425"/>
      <w:r w:rsidRPr="0072188C">
        <w:rPr>
          <w:u w:val="single"/>
        </w:rPr>
        <w:t>Newfoundlan</w:t>
      </w:r>
      <w:r>
        <w:rPr>
          <w:u w:val="single"/>
        </w:rPr>
        <w:t>d and Labrador</w:t>
      </w:r>
      <w:r>
        <w:t xml:space="preserve">: </w:t>
      </w:r>
      <w:hyperlink r:id="rId20" w:history="1">
        <w:r w:rsidRPr="0072188C">
          <w:rPr>
            <w:rStyle w:val="Hyperlink"/>
          </w:rPr>
          <w:t>Order updated March 24</w:t>
        </w:r>
      </w:hyperlink>
      <w:bookmarkEnd w:id="2"/>
      <w:r>
        <w:t xml:space="preserve"> that:</w:t>
      </w:r>
    </w:p>
    <w:p w14:paraId="6251A865" w14:textId="77777777" w:rsidR="0072188C" w:rsidRDefault="0072188C" w:rsidP="0072188C">
      <w:pPr>
        <w:pStyle w:val="ListParagraph"/>
        <w:numPr>
          <w:ilvl w:val="1"/>
          <w:numId w:val="1"/>
        </w:numPr>
      </w:pPr>
      <w:r>
        <w:t>Prohibits gatherings of more than 10 people</w:t>
      </w:r>
    </w:p>
    <w:p w14:paraId="3B8C48A9" w14:textId="7D08CF9B" w:rsidR="0072188C" w:rsidRDefault="0072188C" w:rsidP="004C508D">
      <w:pPr>
        <w:pStyle w:val="ListParagraph"/>
        <w:numPr>
          <w:ilvl w:val="1"/>
          <w:numId w:val="1"/>
        </w:numPr>
      </w:pPr>
      <w:r>
        <w:t>Self-isolation requirements for individuals arriving from outside the province,</w:t>
      </w:r>
    </w:p>
    <w:p w14:paraId="561174B4" w14:textId="77777777" w:rsidR="00F3772D" w:rsidRPr="0072188C" w:rsidRDefault="00F3772D" w:rsidP="00F3772D">
      <w:pPr>
        <w:pStyle w:val="ListParagraph"/>
        <w:ind w:left="1440"/>
      </w:pPr>
    </w:p>
    <w:p w14:paraId="17FD1E2A" w14:textId="35EB0F57" w:rsidR="000823D0" w:rsidRDefault="000A2537" w:rsidP="000823D0">
      <w:pPr>
        <w:pStyle w:val="ListParagraph"/>
        <w:numPr>
          <w:ilvl w:val="0"/>
          <w:numId w:val="1"/>
        </w:numPr>
      </w:pPr>
      <w:r w:rsidRPr="000823D0">
        <w:rPr>
          <w:u w:val="single"/>
        </w:rPr>
        <w:t>Alberta</w:t>
      </w:r>
      <w:r w:rsidR="002579B8" w:rsidRPr="000823D0">
        <w:t xml:space="preserve">: </w:t>
      </w:r>
      <w:hyperlink r:id="rId21" w:history="1">
        <w:r w:rsidR="000823D0" w:rsidRPr="000823D0">
          <w:rPr>
            <w:rStyle w:val="Hyperlink"/>
          </w:rPr>
          <w:t>March 2</w:t>
        </w:r>
        <w:r w:rsidR="00F37169">
          <w:rPr>
            <w:rStyle w:val="Hyperlink"/>
          </w:rPr>
          <w:t>7 guidance</w:t>
        </w:r>
      </w:hyperlink>
      <w:r w:rsidR="000823D0">
        <w:t xml:space="preserve"> </w:t>
      </w:r>
      <w:r w:rsidR="00F37169">
        <w:t>that lists essential services, including but not limited to those listed below</w:t>
      </w:r>
      <w:r w:rsidR="000823D0">
        <w:t>:</w:t>
      </w:r>
    </w:p>
    <w:p w14:paraId="2C60C184" w14:textId="77777777" w:rsidR="00F37169" w:rsidRDefault="00F37169" w:rsidP="00F37169">
      <w:pPr>
        <w:pStyle w:val="ListParagraph"/>
        <w:numPr>
          <w:ilvl w:val="1"/>
          <w:numId w:val="1"/>
        </w:numPr>
      </w:pPr>
      <w:r>
        <w:t>Industries or services that extract, manufacture, process and distribute goods, products, equipment and materials, including businesses that manufacture inputs to other manufacturers (e.g. petrochemicals and precursors, fertilizers, component manufacturers, chemicals, etc. that feed the end-product manufacturer)</w:t>
      </w:r>
    </w:p>
    <w:p w14:paraId="16ECA971" w14:textId="77777777" w:rsidR="00F37169" w:rsidRDefault="00F37169" w:rsidP="00F37169">
      <w:pPr>
        <w:pStyle w:val="ListParagraph"/>
        <w:numPr>
          <w:ilvl w:val="1"/>
          <w:numId w:val="1"/>
        </w:numPr>
      </w:pPr>
      <w:r>
        <w:t xml:space="preserve">Business and services that support security and the safe and reliable operations of </w:t>
      </w:r>
      <w:proofErr w:type="gramStart"/>
      <w:r>
        <w:t>high risk</w:t>
      </w:r>
      <w:proofErr w:type="gramEnd"/>
      <w:r>
        <w:t xml:space="preserve"> sites and facilities</w:t>
      </w:r>
    </w:p>
    <w:p w14:paraId="102D0847" w14:textId="77777777" w:rsidR="00F37169" w:rsidRDefault="00F37169" w:rsidP="00F37169">
      <w:pPr>
        <w:pStyle w:val="ListParagraph"/>
        <w:numPr>
          <w:ilvl w:val="1"/>
          <w:numId w:val="1"/>
        </w:numPr>
      </w:pPr>
      <w:r>
        <w:t>Businesses and services that supply products to the mining and mineral production and distribution sector</w:t>
      </w:r>
    </w:p>
    <w:p w14:paraId="2AA3566C" w14:textId="77777777" w:rsidR="00F37169" w:rsidRPr="00F3772D" w:rsidRDefault="00F37169" w:rsidP="00F37169">
      <w:pPr>
        <w:pStyle w:val="ListParagraph"/>
        <w:numPr>
          <w:ilvl w:val="1"/>
          <w:numId w:val="1"/>
        </w:numPr>
        <w:rPr>
          <w:rFonts w:cstheme="minorHAnsi"/>
        </w:rPr>
      </w:pPr>
      <w:r>
        <w:t xml:space="preserve">Businesses, facilities and services that support and facilitate the two-way movement of essential </w:t>
      </w:r>
      <w:r w:rsidRPr="00F3772D">
        <w:rPr>
          <w:rFonts w:cstheme="minorHAnsi"/>
        </w:rPr>
        <w:t>goods within integrated North American and global supply chains</w:t>
      </w:r>
    </w:p>
    <w:p w14:paraId="573743C7" w14:textId="77777777" w:rsidR="00F37169" w:rsidRPr="00F3772D" w:rsidRDefault="00F37169" w:rsidP="00F37169">
      <w:pPr>
        <w:pStyle w:val="ListParagraph"/>
        <w:numPr>
          <w:ilvl w:val="1"/>
          <w:numId w:val="1"/>
        </w:numPr>
        <w:rPr>
          <w:rFonts w:cstheme="minorHAnsi"/>
        </w:rPr>
      </w:pPr>
      <w:r w:rsidRPr="00F3772D">
        <w:rPr>
          <w:rFonts w:cstheme="minorHAnsi"/>
        </w:rPr>
        <w:t>Businesses that provide chemicals and gases to support the natural resource sector, analytical labs and drinking water and wastewater sectors and other essential businesses</w:t>
      </w:r>
    </w:p>
    <w:p w14:paraId="7E2FFB43" w14:textId="77777777" w:rsidR="00F37169" w:rsidRPr="00F3772D" w:rsidRDefault="00F37169" w:rsidP="00F37169">
      <w:pPr>
        <w:pStyle w:val="ListParagraph"/>
        <w:numPr>
          <w:ilvl w:val="1"/>
          <w:numId w:val="1"/>
        </w:numPr>
        <w:rPr>
          <w:rFonts w:cstheme="minorHAnsi"/>
        </w:rPr>
      </w:pPr>
      <w:r w:rsidRPr="00F3772D">
        <w:rPr>
          <w:rFonts w:cstheme="minorHAnsi"/>
        </w:rPr>
        <w:t>Businesses that ensure global continuity of supply of forestry products (e.g. lumber, pulp, paper, wood fuel, etc.)</w:t>
      </w:r>
    </w:p>
    <w:p w14:paraId="11C72E9B" w14:textId="77777777" w:rsidR="00F37169" w:rsidRPr="00F3772D" w:rsidRDefault="00F37169" w:rsidP="00F37169">
      <w:pPr>
        <w:pStyle w:val="ListParagraph"/>
        <w:numPr>
          <w:ilvl w:val="1"/>
          <w:numId w:val="1"/>
        </w:numPr>
        <w:rPr>
          <w:rFonts w:cstheme="minorHAnsi"/>
        </w:rPr>
      </w:pPr>
      <w:r w:rsidRPr="00F3772D">
        <w:rPr>
          <w:rFonts w:cstheme="minorHAnsi"/>
        </w:rPr>
        <w:t>Businesses that ensure global continuity of supply of aggregates to support critical infrastructure repairs and emergency response requirements (such as gravel, cement, concrete, and asphalt)</w:t>
      </w:r>
    </w:p>
    <w:p w14:paraId="0EA488D4" w14:textId="2E978FB3" w:rsidR="000823D0" w:rsidRPr="00F3772D" w:rsidRDefault="00F37169" w:rsidP="00F37169">
      <w:pPr>
        <w:pStyle w:val="ListParagraph"/>
        <w:numPr>
          <w:ilvl w:val="1"/>
          <w:numId w:val="1"/>
        </w:numPr>
        <w:rPr>
          <w:rFonts w:cstheme="minorHAnsi"/>
        </w:rPr>
      </w:pPr>
      <w:r w:rsidRPr="00F3772D">
        <w:rPr>
          <w:rFonts w:cstheme="minorHAnsi"/>
        </w:rPr>
        <w:t>Processing, refining, and transporting natural liquids, including propane gas, for use as end-use fuels or feed stocks for chemical manufacturing</w:t>
      </w:r>
    </w:p>
    <w:p w14:paraId="07709288" w14:textId="499F696E" w:rsidR="00F3772D" w:rsidRPr="00F3772D" w:rsidRDefault="00F3772D" w:rsidP="00F3772D">
      <w:pPr>
        <w:ind w:left="720"/>
        <w:rPr>
          <w:rFonts w:cstheme="minorHAnsi"/>
        </w:rPr>
      </w:pPr>
    </w:p>
    <w:p w14:paraId="6B4269A9" w14:textId="13F8A1E4" w:rsidR="00F3772D" w:rsidRPr="00F3772D" w:rsidRDefault="00F3772D" w:rsidP="00F3772D">
      <w:pPr>
        <w:ind w:left="360"/>
        <w:rPr>
          <w:rFonts w:cstheme="minorHAnsi"/>
          <w:lang w:val="en-CA"/>
        </w:rPr>
      </w:pPr>
      <w:r w:rsidRPr="00F3772D">
        <w:rPr>
          <w:rFonts w:cstheme="minorHAnsi"/>
        </w:rPr>
        <w:t>On April 9, Albert</w:t>
      </w:r>
      <w:r>
        <w:rPr>
          <w:rFonts w:cstheme="minorHAnsi"/>
        </w:rPr>
        <w:t>a</w:t>
      </w:r>
      <w:r w:rsidRPr="00F3772D">
        <w:rPr>
          <w:rFonts w:cstheme="minorHAnsi"/>
        </w:rPr>
        <w:t xml:space="preserve"> updated </w:t>
      </w:r>
      <w:hyperlink r:id="rId22" w:history="1">
        <w:r w:rsidRPr="00F3772D">
          <w:rPr>
            <w:rStyle w:val="Hyperlink"/>
            <w:rFonts w:cstheme="minorHAnsi"/>
          </w:rPr>
          <w:t>its priority testing list</w:t>
        </w:r>
      </w:hyperlink>
      <w:r w:rsidRPr="00F3772D">
        <w:rPr>
          <w:rFonts w:cstheme="minorHAnsi"/>
        </w:rPr>
        <w:t xml:space="preserve"> to include </w:t>
      </w:r>
      <w:hyperlink r:id="rId23" w:history="1">
        <w:r w:rsidRPr="00F3772D">
          <w:rPr>
            <w:rStyle w:val="Hyperlink"/>
            <w:rFonts w:cstheme="minorHAnsi"/>
          </w:rPr>
          <w:t>essential services workers</w:t>
        </w:r>
      </w:hyperlink>
      <w:r w:rsidRPr="00F3772D">
        <w:rPr>
          <w:rFonts w:cstheme="minorHAnsi"/>
        </w:rPr>
        <w:t xml:space="preserve">: </w:t>
      </w:r>
      <w:r w:rsidRPr="00F3772D">
        <w:rPr>
          <w:rFonts w:cstheme="minorHAnsi"/>
          <w:lang w:val="en-CA"/>
        </w:rPr>
        <w:t>Testing is being offered to symptomatic individuals (i.e.</w:t>
      </w:r>
      <w:r w:rsidRPr="00F3772D">
        <w:rPr>
          <w:rFonts w:cstheme="minorHAnsi"/>
          <w:lang w:val="en-CA"/>
        </w:rPr>
        <w:t>,</w:t>
      </w:r>
      <w:r w:rsidRPr="00F3772D">
        <w:rPr>
          <w:rFonts w:cstheme="minorHAnsi"/>
          <w:lang w:val="en-CA"/>
        </w:rPr>
        <w:t xml:space="preserve"> cough, fever, runny nose, sore throat or shortness of breath) in the following roles</w:t>
      </w:r>
      <w:r w:rsidRPr="00F3772D">
        <w:rPr>
          <w:rFonts w:cstheme="minorHAnsi"/>
          <w:lang w:val="en-CA"/>
        </w:rPr>
        <w:t>:</w:t>
      </w:r>
    </w:p>
    <w:p w14:paraId="547A8592" w14:textId="77777777" w:rsidR="00F3772D" w:rsidRPr="00F3772D" w:rsidRDefault="00F3772D" w:rsidP="00F3772D">
      <w:pPr>
        <w:rPr>
          <w:rFonts w:eastAsia="Times New Roman" w:cstheme="minorHAnsi"/>
          <w:lang w:val="en-CA"/>
        </w:rPr>
      </w:pPr>
    </w:p>
    <w:p w14:paraId="08BC3077" w14:textId="44D00452" w:rsidR="00F3772D" w:rsidRPr="00F3772D" w:rsidRDefault="00F3772D" w:rsidP="00F3772D">
      <w:pPr>
        <w:pStyle w:val="ListParagraph"/>
        <w:numPr>
          <w:ilvl w:val="0"/>
          <w:numId w:val="3"/>
        </w:numPr>
        <w:rPr>
          <w:rFonts w:cstheme="minorHAnsi"/>
          <w:lang w:val="en-CA"/>
        </w:rPr>
      </w:pPr>
      <w:r w:rsidRPr="00F3772D">
        <w:rPr>
          <w:rFonts w:eastAsia="Times New Roman" w:cstheme="minorHAnsi"/>
          <w:lang w:val="en-CA"/>
        </w:rPr>
        <w:t>H</w:t>
      </w:r>
      <w:r w:rsidRPr="00F3772D">
        <w:rPr>
          <w:rFonts w:eastAsia="Times New Roman" w:cstheme="minorHAnsi"/>
          <w:lang w:val="en-CA"/>
        </w:rPr>
        <w:t>ealthcare workers</w:t>
      </w:r>
      <w:r w:rsidRPr="00F3772D">
        <w:rPr>
          <w:rFonts w:eastAsia="Times New Roman" w:cstheme="minorHAnsi"/>
          <w:lang w:val="en-CA"/>
        </w:rPr>
        <w:t>;</w:t>
      </w:r>
    </w:p>
    <w:p w14:paraId="445571F2" w14:textId="77777777" w:rsidR="00F3772D" w:rsidRPr="00F3772D" w:rsidRDefault="00F3772D" w:rsidP="00F3772D">
      <w:pPr>
        <w:pStyle w:val="ListParagraph"/>
        <w:numPr>
          <w:ilvl w:val="0"/>
          <w:numId w:val="3"/>
        </w:numPr>
        <w:rPr>
          <w:rFonts w:cstheme="minorHAnsi"/>
          <w:lang w:val="en-CA"/>
        </w:rPr>
      </w:pPr>
      <w:r w:rsidRPr="00F3772D">
        <w:rPr>
          <w:rFonts w:eastAsia="Times New Roman" w:cstheme="minorHAnsi"/>
          <w:lang w:val="en-CA"/>
        </w:rPr>
        <w:t>G</w:t>
      </w:r>
      <w:r w:rsidRPr="00F3772D">
        <w:rPr>
          <w:rFonts w:eastAsia="Times New Roman" w:cstheme="minorHAnsi"/>
          <w:lang w:val="en-CA"/>
        </w:rPr>
        <w:t>roup home workers and shelter workers</w:t>
      </w:r>
      <w:r w:rsidRPr="00F3772D">
        <w:rPr>
          <w:rFonts w:eastAsia="Times New Roman" w:cstheme="minorHAnsi"/>
          <w:lang w:val="en-CA"/>
        </w:rPr>
        <w:t>;</w:t>
      </w:r>
    </w:p>
    <w:p w14:paraId="75AEC4E2" w14:textId="77777777" w:rsidR="00F3772D" w:rsidRPr="00F3772D" w:rsidRDefault="00F3772D" w:rsidP="00F3772D">
      <w:pPr>
        <w:pStyle w:val="ListParagraph"/>
        <w:numPr>
          <w:ilvl w:val="0"/>
          <w:numId w:val="3"/>
        </w:numPr>
        <w:rPr>
          <w:rFonts w:cstheme="minorHAnsi"/>
          <w:lang w:val="en-CA"/>
        </w:rPr>
      </w:pPr>
      <w:r w:rsidRPr="00F3772D">
        <w:rPr>
          <w:rFonts w:eastAsia="Times New Roman" w:cstheme="minorHAnsi"/>
          <w:lang w:val="en-CA"/>
        </w:rPr>
        <w:t>F</w:t>
      </w:r>
      <w:r w:rsidRPr="00F3772D">
        <w:rPr>
          <w:rFonts w:eastAsia="Times New Roman" w:cstheme="minorHAnsi"/>
          <w:lang w:val="en-CA"/>
        </w:rPr>
        <w:t>irst responders, including firefighters and EMS</w:t>
      </w:r>
      <w:r w:rsidRPr="00F3772D">
        <w:rPr>
          <w:rFonts w:eastAsia="Times New Roman" w:cstheme="minorHAnsi"/>
          <w:lang w:val="en-CA"/>
        </w:rPr>
        <w:t>;</w:t>
      </w:r>
    </w:p>
    <w:p w14:paraId="7FB46BD0" w14:textId="77777777" w:rsidR="00F3772D" w:rsidRPr="00F3772D" w:rsidRDefault="00F3772D" w:rsidP="00F3772D">
      <w:pPr>
        <w:pStyle w:val="ListParagraph"/>
        <w:numPr>
          <w:ilvl w:val="0"/>
          <w:numId w:val="3"/>
        </w:numPr>
        <w:rPr>
          <w:rFonts w:cstheme="minorHAnsi"/>
          <w:lang w:val="en-CA"/>
        </w:rPr>
      </w:pPr>
      <w:r>
        <w:rPr>
          <w:rFonts w:eastAsia="Times New Roman" w:cstheme="minorHAnsi"/>
          <w:lang w:val="en-CA"/>
        </w:rPr>
        <w:t>P</w:t>
      </w:r>
      <w:r w:rsidRPr="00F3772D">
        <w:rPr>
          <w:rFonts w:eastAsia="Times New Roman" w:cstheme="minorHAnsi"/>
          <w:lang w:val="en-CA"/>
        </w:rPr>
        <w:t>eople involved in COVID-19 enforcement, including police, peace officers, bylaw officers, environmental health officers, and fish and wildlife officers</w:t>
      </w:r>
      <w:r>
        <w:rPr>
          <w:rFonts w:eastAsia="Times New Roman" w:cstheme="minorHAnsi"/>
          <w:lang w:val="en-CA"/>
        </w:rPr>
        <w:t>;</w:t>
      </w:r>
    </w:p>
    <w:p w14:paraId="197264B7" w14:textId="77777777" w:rsidR="00F3772D" w:rsidRPr="00F3772D" w:rsidRDefault="00F3772D" w:rsidP="00F3772D">
      <w:pPr>
        <w:pStyle w:val="ListParagraph"/>
        <w:numPr>
          <w:ilvl w:val="0"/>
          <w:numId w:val="3"/>
        </w:numPr>
        <w:rPr>
          <w:rFonts w:cstheme="minorHAnsi"/>
          <w:lang w:val="en-CA"/>
        </w:rPr>
      </w:pPr>
      <w:r w:rsidRPr="00F3772D">
        <w:rPr>
          <w:rFonts w:eastAsia="Times New Roman" w:cstheme="minorHAnsi"/>
          <w:lang w:val="en-CA"/>
        </w:rPr>
        <w:t>C</w:t>
      </w:r>
      <w:r w:rsidRPr="00F3772D">
        <w:rPr>
          <w:rFonts w:eastAsia="Times New Roman" w:cstheme="minorHAnsi"/>
          <w:lang w:val="en-CA"/>
        </w:rPr>
        <w:t>orrectional facility staff, working in either a provincial or federal facility</w:t>
      </w:r>
      <w:r w:rsidRPr="00F3772D">
        <w:rPr>
          <w:rFonts w:eastAsia="Times New Roman" w:cstheme="minorHAnsi"/>
          <w:lang w:val="en-CA"/>
        </w:rPr>
        <w:t>; and</w:t>
      </w:r>
    </w:p>
    <w:p w14:paraId="2538CD97" w14:textId="58E30CE4" w:rsidR="00F7767F" w:rsidRPr="00F3772D" w:rsidRDefault="00F3772D" w:rsidP="00F3772D">
      <w:pPr>
        <w:pStyle w:val="ListParagraph"/>
        <w:numPr>
          <w:ilvl w:val="0"/>
          <w:numId w:val="3"/>
        </w:numPr>
        <w:rPr>
          <w:rFonts w:cstheme="minorHAnsi"/>
          <w:lang w:val="en-CA"/>
        </w:rPr>
      </w:pPr>
      <w:r w:rsidRPr="00F3772D">
        <w:rPr>
          <w:rFonts w:eastAsia="Times New Roman" w:cstheme="minorHAnsi"/>
          <w:lang w:val="en-CA"/>
        </w:rPr>
        <w:t>E</w:t>
      </w:r>
      <w:r w:rsidRPr="00F3772D">
        <w:rPr>
          <w:rFonts w:eastAsia="Times New Roman" w:cstheme="minorHAnsi"/>
          <w:lang w:val="en-CA"/>
        </w:rPr>
        <w:t>ssential service workers</w:t>
      </w:r>
      <w:r w:rsidRPr="00F3772D">
        <w:rPr>
          <w:rFonts w:eastAsia="Times New Roman" w:cstheme="minorHAnsi"/>
          <w:lang w:val="en-CA"/>
        </w:rPr>
        <w:t>.</w:t>
      </w:r>
    </w:p>
    <w:p w14:paraId="7B70083A" w14:textId="77777777" w:rsidR="00F3772D" w:rsidRDefault="00F3772D" w:rsidP="00F3772D">
      <w:pPr>
        <w:pStyle w:val="ListParagraph"/>
        <w:rPr>
          <w:rFonts w:cstheme="minorHAnsi"/>
        </w:rPr>
      </w:pPr>
      <w:bookmarkStart w:id="3" w:name="_Hlk36506469"/>
    </w:p>
    <w:p w14:paraId="2936CADD" w14:textId="548E8ACF" w:rsidR="00E40BB5" w:rsidRPr="00F3772D" w:rsidRDefault="00F37169" w:rsidP="00F37169">
      <w:pPr>
        <w:pStyle w:val="ListParagraph"/>
        <w:numPr>
          <w:ilvl w:val="0"/>
          <w:numId w:val="1"/>
        </w:numPr>
        <w:rPr>
          <w:rFonts w:cstheme="minorHAnsi"/>
        </w:rPr>
      </w:pPr>
      <w:r w:rsidRPr="00F3772D">
        <w:rPr>
          <w:rFonts w:cstheme="minorHAnsi"/>
        </w:rPr>
        <w:t xml:space="preserve">Saskatchewan: </w:t>
      </w:r>
      <w:hyperlink r:id="rId24" w:history="1">
        <w:r w:rsidRPr="00F3772D">
          <w:rPr>
            <w:rStyle w:val="Hyperlink"/>
            <w:rFonts w:cstheme="minorHAnsi"/>
          </w:rPr>
          <w:t>March 25 guidance</w:t>
        </w:r>
      </w:hyperlink>
      <w:r w:rsidRPr="00F3772D">
        <w:rPr>
          <w:rFonts w:cstheme="minorHAnsi"/>
        </w:rPr>
        <w:t xml:space="preserve"> and </w:t>
      </w:r>
      <w:hyperlink r:id="rId25" w:history="1">
        <w:r w:rsidRPr="00F3772D">
          <w:rPr>
            <w:rStyle w:val="Hyperlink"/>
            <w:rFonts w:cstheme="minorHAnsi"/>
          </w:rPr>
          <w:t>backgrounder</w:t>
        </w:r>
      </w:hyperlink>
      <w:bookmarkEnd w:id="3"/>
      <w:r w:rsidRPr="00F3772D">
        <w:rPr>
          <w:rFonts w:cstheme="minorHAnsi"/>
        </w:rPr>
        <w:t xml:space="preserve"> that lists allowable business services, including but not limited to those listed below:</w:t>
      </w:r>
    </w:p>
    <w:p w14:paraId="0238B080" w14:textId="77777777" w:rsidR="00F37169" w:rsidRPr="00F3772D" w:rsidRDefault="00F37169" w:rsidP="00F37169">
      <w:pPr>
        <w:pStyle w:val="ListParagraph"/>
        <w:numPr>
          <w:ilvl w:val="1"/>
          <w:numId w:val="1"/>
        </w:numPr>
        <w:rPr>
          <w:rFonts w:cstheme="minorHAnsi"/>
        </w:rPr>
      </w:pPr>
      <w:r w:rsidRPr="00F3772D">
        <w:rPr>
          <w:rFonts w:cstheme="minorHAnsi"/>
        </w:rPr>
        <w:t>Production, processing and supply chains of the mining sector</w:t>
      </w:r>
    </w:p>
    <w:p w14:paraId="53D7D0DA" w14:textId="420EADC6" w:rsidR="00F37169" w:rsidRPr="00F3772D" w:rsidRDefault="00F37169" w:rsidP="00F37169">
      <w:pPr>
        <w:pStyle w:val="ListParagraph"/>
        <w:numPr>
          <w:ilvl w:val="1"/>
          <w:numId w:val="1"/>
        </w:numPr>
        <w:rPr>
          <w:rFonts w:cstheme="minorHAnsi"/>
        </w:rPr>
      </w:pPr>
      <w:r w:rsidRPr="00F3772D">
        <w:rPr>
          <w:rFonts w:cstheme="minorHAnsi"/>
        </w:rPr>
        <w:t>Production, processing and supply chains of the forestry sector</w:t>
      </w:r>
    </w:p>
    <w:p w14:paraId="19741770" w14:textId="482D6716" w:rsidR="00F37169" w:rsidRPr="00F3772D" w:rsidRDefault="00F37169" w:rsidP="00F37169">
      <w:pPr>
        <w:pStyle w:val="ListParagraph"/>
        <w:numPr>
          <w:ilvl w:val="1"/>
          <w:numId w:val="1"/>
        </w:numPr>
        <w:rPr>
          <w:rFonts w:cstheme="minorHAnsi"/>
        </w:rPr>
      </w:pPr>
      <w:r w:rsidRPr="00F3772D">
        <w:rPr>
          <w:rFonts w:cstheme="minorHAnsi"/>
        </w:rPr>
        <w:t>Production, processing and supply chains of the energy and oil and gas sectors</w:t>
      </w:r>
    </w:p>
    <w:p w14:paraId="15B3DECF" w14:textId="10D88EE3" w:rsidR="00F37169" w:rsidRPr="00F3772D" w:rsidRDefault="00F37169" w:rsidP="00F37169">
      <w:pPr>
        <w:pStyle w:val="ListParagraph"/>
        <w:numPr>
          <w:ilvl w:val="1"/>
          <w:numId w:val="1"/>
        </w:numPr>
        <w:rPr>
          <w:rFonts w:cstheme="minorHAnsi"/>
        </w:rPr>
      </w:pPr>
      <w:r w:rsidRPr="00F3772D">
        <w:rPr>
          <w:rFonts w:cstheme="minorHAnsi"/>
        </w:rPr>
        <w:t>Production, processing and supply chains of the agriculture sector, including animal care</w:t>
      </w:r>
    </w:p>
    <w:p w14:paraId="30776ABD" w14:textId="5EEE5069" w:rsidR="00F37169" w:rsidRPr="00F3772D" w:rsidRDefault="00F37169" w:rsidP="00F37169">
      <w:pPr>
        <w:pStyle w:val="ListParagraph"/>
        <w:numPr>
          <w:ilvl w:val="1"/>
          <w:numId w:val="1"/>
        </w:numPr>
        <w:rPr>
          <w:rFonts w:cstheme="minorHAnsi"/>
        </w:rPr>
      </w:pPr>
      <w:r w:rsidRPr="00F3772D">
        <w:rPr>
          <w:rFonts w:cstheme="minorHAnsi"/>
        </w:rPr>
        <w:t>Production, processing and supply chains of the manufacturing sector</w:t>
      </w:r>
    </w:p>
    <w:p w14:paraId="151B6160" w14:textId="7558F05F" w:rsidR="00F37169" w:rsidRPr="00F3772D" w:rsidRDefault="00F37169" w:rsidP="00F7767F">
      <w:pPr>
        <w:pStyle w:val="ListParagraph"/>
        <w:numPr>
          <w:ilvl w:val="1"/>
          <w:numId w:val="1"/>
        </w:numPr>
        <w:rPr>
          <w:rFonts w:cstheme="minorHAnsi"/>
        </w:rPr>
      </w:pPr>
      <w:r w:rsidRPr="00F3772D">
        <w:rPr>
          <w:rFonts w:cstheme="minorHAnsi"/>
        </w:rPr>
        <w:t>Businesses, facilities and services that support and carry‐out the two‐way movement of essential goods within integrated North American and Global supply chains</w:t>
      </w:r>
    </w:p>
    <w:sectPr w:rsidR="00F37169" w:rsidRPr="00F37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0FA0"/>
    <w:multiLevelType w:val="hybridMultilevel"/>
    <w:tmpl w:val="43CA1A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D908A2"/>
    <w:multiLevelType w:val="hybridMultilevel"/>
    <w:tmpl w:val="7396C9AE"/>
    <w:lvl w:ilvl="0" w:tplc="4918B36A">
      <w:start w:val="3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57D25"/>
    <w:multiLevelType w:val="multilevel"/>
    <w:tmpl w:val="94EA5A3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7F"/>
    <w:rsid w:val="000823D0"/>
    <w:rsid w:val="000A2537"/>
    <w:rsid w:val="0012017D"/>
    <w:rsid w:val="001335CB"/>
    <w:rsid w:val="001A0AD2"/>
    <w:rsid w:val="00204073"/>
    <w:rsid w:val="002573E2"/>
    <w:rsid w:val="002579B8"/>
    <w:rsid w:val="0028666A"/>
    <w:rsid w:val="002F7D47"/>
    <w:rsid w:val="00374EF7"/>
    <w:rsid w:val="003B6E53"/>
    <w:rsid w:val="003C1EED"/>
    <w:rsid w:val="00422CAC"/>
    <w:rsid w:val="004342DA"/>
    <w:rsid w:val="004856F8"/>
    <w:rsid w:val="00507ACE"/>
    <w:rsid w:val="00523E48"/>
    <w:rsid w:val="0055651B"/>
    <w:rsid w:val="0063685C"/>
    <w:rsid w:val="006F19D1"/>
    <w:rsid w:val="006F19FD"/>
    <w:rsid w:val="00705CD8"/>
    <w:rsid w:val="0072188C"/>
    <w:rsid w:val="007B18C8"/>
    <w:rsid w:val="007B7C56"/>
    <w:rsid w:val="007D3D01"/>
    <w:rsid w:val="008B43F6"/>
    <w:rsid w:val="00956094"/>
    <w:rsid w:val="009A3678"/>
    <w:rsid w:val="009A50AE"/>
    <w:rsid w:val="00A1048B"/>
    <w:rsid w:val="00A93193"/>
    <w:rsid w:val="00B25477"/>
    <w:rsid w:val="00B31E28"/>
    <w:rsid w:val="00BB7324"/>
    <w:rsid w:val="00CB2A73"/>
    <w:rsid w:val="00CB70B8"/>
    <w:rsid w:val="00CE022D"/>
    <w:rsid w:val="00D45FFC"/>
    <w:rsid w:val="00E40BB5"/>
    <w:rsid w:val="00E46C72"/>
    <w:rsid w:val="00F37169"/>
    <w:rsid w:val="00F3772D"/>
    <w:rsid w:val="00F7767F"/>
    <w:rsid w:val="00F95EDF"/>
    <w:rsid w:val="00FC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E83A"/>
  <w15:chartTrackingRefBased/>
  <w15:docId w15:val="{ABF4FA34-3365-4C4C-930C-38A48745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67F"/>
    <w:pPr>
      <w:ind w:left="720"/>
      <w:contextualSpacing/>
    </w:pPr>
  </w:style>
  <w:style w:type="character" w:styleId="Hyperlink">
    <w:name w:val="Hyperlink"/>
    <w:basedOn w:val="DefaultParagraphFont"/>
    <w:uiPriority w:val="99"/>
    <w:unhideWhenUsed/>
    <w:rsid w:val="00F7767F"/>
    <w:rPr>
      <w:color w:val="0563C1" w:themeColor="hyperlink"/>
      <w:u w:val="single"/>
    </w:rPr>
  </w:style>
  <w:style w:type="character" w:styleId="UnresolvedMention">
    <w:name w:val="Unresolved Mention"/>
    <w:basedOn w:val="DefaultParagraphFont"/>
    <w:uiPriority w:val="99"/>
    <w:semiHidden/>
    <w:unhideWhenUsed/>
    <w:rsid w:val="00F7767F"/>
    <w:rPr>
      <w:color w:val="605E5C"/>
      <w:shd w:val="clear" w:color="auto" w:fill="E1DFDD"/>
    </w:rPr>
  </w:style>
  <w:style w:type="paragraph" w:customStyle="1" w:styleId="Default">
    <w:name w:val="Default"/>
    <w:rsid w:val="009A367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36676">
      <w:bodyDiv w:val="1"/>
      <w:marLeft w:val="0"/>
      <w:marRight w:val="0"/>
      <w:marTop w:val="0"/>
      <w:marBottom w:val="0"/>
      <w:divBdr>
        <w:top w:val="none" w:sz="0" w:space="0" w:color="auto"/>
        <w:left w:val="none" w:sz="0" w:space="0" w:color="auto"/>
        <w:bottom w:val="none" w:sz="0" w:space="0" w:color="auto"/>
        <w:right w:val="none" w:sz="0" w:space="0" w:color="auto"/>
      </w:divBdr>
    </w:div>
    <w:div w:id="19877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nam.org/IEA/DOF%20Eng%20Translation%20essential%20sectors%20April%206.docx" TargetMode="External"/><Relationship Id="rId13" Type="http://schemas.openxmlformats.org/officeDocument/2006/relationships/hyperlink" Target="http://sgi.nl.gob.mx/Transparencia_2015/Archivos/AC_0001_0007_00168371_000001.pdf" TargetMode="External"/><Relationship Id="rId18" Type="http://schemas.openxmlformats.org/officeDocument/2006/relationships/hyperlink" Target="https://news.gov.bc.ca/releases/2020PSSG0020-00056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lberta.ca/essential-services.aspx" TargetMode="External"/><Relationship Id="rId7" Type="http://schemas.openxmlformats.org/officeDocument/2006/relationships/hyperlink" Target="http://dof.gob.mx/nota_detalle.php?codigo=5591234&amp;fecha=06/04/2020" TargetMode="External"/><Relationship Id="rId12" Type="http://schemas.openxmlformats.org/officeDocument/2006/relationships/hyperlink" Target="http://sgi.nl.gob.mx/Transparencia_2015/Archivos/AC_0001_0007_00168382_000003.pdf" TargetMode="External"/><Relationship Id="rId17" Type="http://schemas.openxmlformats.org/officeDocument/2006/relationships/hyperlink" Target="https://www.ontario.ca/page/list-essential-workplaces" TargetMode="External"/><Relationship Id="rId25" Type="http://schemas.openxmlformats.org/officeDocument/2006/relationships/hyperlink" Target="https://www.saskatchewan.ca/-/media/news-release-backgrounders/2020/mar/critical-public-services-to-address-covid-19-and-allowable-business-services.pdf" TargetMode="External"/><Relationship Id="rId2" Type="http://schemas.openxmlformats.org/officeDocument/2006/relationships/styles" Target="styles.xml"/><Relationship Id="rId16" Type="http://schemas.openxmlformats.org/officeDocument/2006/relationships/hyperlink" Target="https://www.quebec.ca/en/health/health-issues/a-z/2019-coronavirus/essential-services-commercial-activities-covid19/" TargetMode="External"/><Relationship Id="rId20" Type="http://schemas.openxmlformats.org/officeDocument/2006/relationships/hyperlink" Target="https://www.gov.nl.ca/covid-19/files/Special-Measures-Order-Updated-March-24-2020.pdf" TargetMode="External"/><Relationship Id="rId1" Type="http://schemas.openxmlformats.org/officeDocument/2006/relationships/numbering" Target="numbering.xml"/><Relationship Id="rId6" Type="http://schemas.openxmlformats.org/officeDocument/2006/relationships/hyperlink" Target="http://documents.nam.org/IEA/Decree%20extraordinary%20actions%20COVID19.pdf" TargetMode="External"/><Relationship Id="rId11" Type="http://schemas.openxmlformats.org/officeDocument/2006/relationships/hyperlink" Target="http://periodico.sfpcoahuila.gob.mx/ArchivosPO/22-EXT-19-MAR-2020.PDF" TargetMode="External"/><Relationship Id="rId24" Type="http://schemas.openxmlformats.org/officeDocument/2006/relationships/hyperlink" Target="https://www.saskatchewan.ca/government/news-and-media/2020/march/25/allowable-business-services" TargetMode="External"/><Relationship Id="rId5" Type="http://schemas.openxmlformats.org/officeDocument/2006/relationships/hyperlink" Target="https://www.dof.gob.mx/nota_detalle.php?codigo=5590914&amp;fecha=31/03/2020&amp;print=true" TargetMode="External"/><Relationship Id="rId15" Type="http://schemas.openxmlformats.org/officeDocument/2006/relationships/hyperlink" Target="https://www.publicsafety.gc.ca/cnt/ntnl-scrt/crtcl-nfrstrctr/esf-sfe-en.aspx" TargetMode="External"/><Relationship Id="rId23" Type="http://schemas.openxmlformats.org/officeDocument/2006/relationships/hyperlink" Target="https://protect-us.mimecast.com/s/Qiq9Co2mK4irlGEXUWMIyu?domain=alberta.ca" TargetMode="External"/><Relationship Id="rId10" Type="http://schemas.openxmlformats.org/officeDocument/2006/relationships/hyperlink" Target="http://periodico.sfpcoahuila.gob.mx/ArchivosPO/24-SS-24-MAR-2020.PDF" TargetMode="External"/><Relationship Id="rId19" Type="http://schemas.openxmlformats.org/officeDocument/2006/relationships/hyperlink" Target="https://www.princeedwardisland.ca/en/information/health-and-wellness/essential-and-non-essential-services-covid-19" TargetMode="External"/><Relationship Id="rId4" Type="http://schemas.openxmlformats.org/officeDocument/2006/relationships/webSettings" Target="webSettings.xml"/><Relationship Id="rId9" Type="http://schemas.openxmlformats.org/officeDocument/2006/relationships/hyperlink" Target="http://www.boletinoficial.sonora.gob.mx/boletin/images/boletinesPdf/2020/03/EE25032020.pdf" TargetMode="External"/><Relationship Id="rId14" Type="http://schemas.openxmlformats.org/officeDocument/2006/relationships/hyperlink" Target="http://www.cambio.gob.mx/spip.php?article14941" TargetMode="External"/><Relationship Id="rId22" Type="http://schemas.openxmlformats.org/officeDocument/2006/relationships/hyperlink" Target="https://protect-us.mimecast.com/s/8EKcCn5lX4I7lLvGhE4Pu7?domain=alberta.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4</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Monahan</dc:creator>
  <cp:keywords/>
  <dc:description/>
  <cp:lastModifiedBy>Ken Monahan</cp:lastModifiedBy>
  <cp:revision>27</cp:revision>
  <cp:lastPrinted>2020-04-08T21:37:00Z</cp:lastPrinted>
  <dcterms:created xsi:type="dcterms:W3CDTF">2020-03-25T01:25:00Z</dcterms:created>
  <dcterms:modified xsi:type="dcterms:W3CDTF">2020-04-10T02:52:00Z</dcterms:modified>
</cp:coreProperties>
</file>