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7437" w14:textId="6F0B5680" w:rsidR="00515C3A" w:rsidRPr="00045CC1" w:rsidRDefault="00515C3A" w:rsidP="00042CC7">
      <w:pPr>
        <w:jc w:val="center"/>
        <w:rPr>
          <w:b/>
          <w:sz w:val="28"/>
          <w:szCs w:val="28"/>
        </w:rPr>
      </w:pPr>
      <w:r w:rsidRPr="00045CC1">
        <w:rPr>
          <w:b/>
          <w:sz w:val="28"/>
          <w:szCs w:val="28"/>
        </w:rPr>
        <w:t xml:space="preserve">Briefer, Key Messages and Talking Points for </w:t>
      </w:r>
    </w:p>
    <w:p w14:paraId="7CA9BD49" w14:textId="45B3B6D2" w:rsidR="00515C3A" w:rsidRDefault="00515C3A" w:rsidP="00042CC7">
      <w:pPr>
        <w:jc w:val="center"/>
        <w:rPr>
          <w:b/>
          <w:sz w:val="22"/>
        </w:rPr>
      </w:pPr>
      <w:r w:rsidRPr="00045CC1">
        <w:rPr>
          <w:b/>
          <w:sz w:val="28"/>
          <w:szCs w:val="28"/>
        </w:rPr>
        <w:t>February 2020 World Health Organization Executive Board Meetings</w:t>
      </w:r>
    </w:p>
    <w:p w14:paraId="44187C5A" w14:textId="7D423185" w:rsidR="00515C3A" w:rsidRPr="00045CC1" w:rsidRDefault="00515C3A" w:rsidP="00042CC7">
      <w:pPr>
        <w:jc w:val="center"/>
        <w:rPr>
          <w:bCs/>
          <w:i/>
          <w:iCs/>
          <w:szCs w:val="24"/>
        </w:rPr>
      </w:pPr>
      <w:r w:rsidRPr="00045CC1">
        <w:rPr>
          <w:bCs/>
          <w:i/>
          <w:iCs/>
          <w:szCs w:val="24"/>
        </w:rPr>
        <w:t>as of 2</w:t>
      </w:r>
      <w:r w:rsidR="0009704E" w:rsidRPr="00045CC1">
        <w:rPr>
          <w:bCs/>
          <w:i/>
          <w:iCs/>
          <w:szCs w:val="24"/>
        </w:rPr>
        <w:t>8</w:t>
      </w:r>
      <w:r w:rsidRPr="00045CC1">
        <w:rPr>
          <w:bCs/>
          <w:i/>
          <w:iCs/>
          <w:szCs w:val="24"/>
        </w:rPr>
        <w:t xml:space="preserve"> January 2020</w:t>
      </w:r>
    </w:p>
    <w:p w14:paraId="5C8CB835" w14:textId="2CD803B9" w:rsidR="00515C3A" w:rsidRDefault="007831EB" w:rsidP="00042CC7">
      <w:pPr>
        <w:jc w:val="center"/>
        <w:rPr>
          <w:b/>
          <w:sz w:val="22"/>
        </w:rPr>
      </w:pPr>
      <w:r w:rsidRPr="00A82D34">
        <w:rPr>
          <w:noProof/>
          <w:sz w:val="22"/>
        </w:rPr>
        <mc:AlternateContent>
          <mc:Choice Requires="wps">
            <w:drawing>
              <wp:anchor distT="45720" distB="45720" distL="114300" distR="114300" simplePos="0" relativeHeight="251659264" behindDoc="0" locked="0" layoutInCell="1" allowOverlap="1" wp14:anchorId="363E7734" wp14:editId="656E8B08">
                <wp:simplePos x="0" y="0"/>
                <wp:positionH relativeFrom="column">
                  <wp:posOffset>-19050</wp:posOffset>
                </wp:positionH>
                <wp:positionV relativeFrom="paragraph">
                  <wp:posOffset>215265</wp:posOffset>
                </wp:positionV>
                <wp:extent cx="5895975" cy="2867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67025"/>
                        </a:xfrm>
                        <a:prstGeom prst="rect">
                          <a:avLst/>
                        </a:prstGeom>
                        <a:solidFill>
                          <a:srgbClr val="FFFFFF"/>
                        </a:solidFill>
                        <a:ln w="9525">
                          <a:solidFill>
                            <a:srgbClr val="000000"/>
                          </a:solidFill>
                          <a:miter lim="800000"/>
                          <a:headEnd/>
                          <a:tailEnd/>
                        </a:ln>
                      </wps:spPr>
                      <wps:txbx>
                        <w:txbxContent>
                          <w:p w14:paraId="443B19C8" w14:textId="4E21ACEE" w:rsidR="00A82D34" w:rsidRPr="00B116E2" w:rsidRDefault="00A82D34" w:rsidP="00A82D34">
                            <w:pPr>
                              <w:rPr>
                                <w:b/>
                                <w:szCs w:val="24"/>
                              </w:rPr>
                            </w:pPr>
                            <w:r w:rsidRPr="00B116E2">
                              <w:rPr>
                                <w:b/>
                                <w:szCs w:val="24"/>
                              </w:rPr>
                              <w:t>KEY POINTS</w:t>
                            </w:r>
                          </w:p>
                          <w:p w14:paraId="2A58EB05" w14:textId="77777777" w:rsidR="00A82D34" w:rsidRDefault="00A82D34" w:rsidP="00A82D34">
                            <w:pPr>
                              <w:rPr>
                                <w:b/>
                                <w:sz w:val="22"/>
                              </w:rPr>
                            </w:pPr>
                          </w:p>
                          <w:p w14:paraId="303CDEBB" w14:textId="33458616" w:rsidR="00A82D34" w:rsidRPr="00A82D34" w:rsidRDefault="00A82D34" w:rsidP="007831EB">
                            <w:pPr>
                              <w:pStyle w:val="ListParagraph"/>
                              <w:numPr>
                                <w:ilvl w:val="0"/>
                                <w:numId w:val="14"/>
                              </w:numPr>
                              <w:snapToGrid w:val="0"/>
                              <w:ind w:left="360"/>
                              <w:rPr>
                                <w:sz w:val="22"/>
                              </w:rPr>
                            </w:pPr>
                            <w:r w:rsidRPr="00A82D34">
                              <w:rPr>
                                <w:sz w:val="22"/>
                              </w:rPr>
                              <w:t>Global businesses across in</w:t>
                            </w:r>
                            <w:bookmarkStart w:id="0" w:name="_GoBack"/>
                            <w:bookmarkEnd w:id="0"/>
                            <w:r w:rsidRPr="00A82D34">
                              <w:rPr>
                                <w:sz w:val="22"/>
                              </w:rPr>
                              <w:t>dustries could be impacted by next month</w:t>
                            </w:r>
                            <w:r>
                              <w:rPr>
                                <w:sz w:val="22"/>
                              </w:rPr>
                              <w:t xml:space="preserve">’s </w:t>
                            </w:r>
                            <w:r w:rsidRPr="00A82D34">
                              <w:rPr>
                                <w:sz w:val="22"/>
                              </w:rPr>
                              <w:t>World Health Organization’s Executive Board meet</w:t>
                            </w:r>
                            <w:r>
                              <w:rPr>
                                <w:sz w:val="22"/>
                              </w:rPr>
                              <w:t xml:space="preserve">ing, with policy implications from discussions on health-related topics such as </w:t>
                            </w:r>
                            <w:r w:rsidRPr="00A82D34">
                              <w:rPr>
                                <w:sz w:val="22"/>
                              </w:rPr>
                              <w:t>health innovation</w:t>
                            </w:r>
                            <w:r>
                              <w:rPr>
                                <w:sz w:val="22"/>
                              </w:rPr>
                              <w:t xml:space="preserve">, </w:t>
                            </w:r>
                            <w:r w:rsidRPr="00A82D34">
                              <w:rPr>
                                <w:sz w:val="22"/>
                              </w:rPr>
                              <w:t>obesity, air pollutio</w:t>
                            </w:r>
                            <w:r>
                              <w:rPr>
                                <w:sz w:val="22"/>
                              </w:rPr>
                              <w:t>n and</w:t>
                            </w:r>
                            <w:r w:rsidRPr="00A82D34">
                              <w:rPr>
                                <w:sz w:val="22"/>
                              </w:rPr>
                              <w:t xml:space="preserve"> digital health. </w:t>
                            </w:r>
                          </w:p>
                          <w:p w14:paraId="46F4F0B9" w14:textId="0D35BCE8" w:rsidR="00A82D34" w:rsidRPr="00A82D34" w:rsidRDefault="00A82D34" w:rsidP="007831EB">
                            <w:pPr>
                              <w:pStyle w:val="ListParagraph"/>
                              <w:numPr>
                                <w:ilvl w:val="0"/>
                                <w:numId w:val="14"/>
                              </w:numPr>
                              <w:snapToGrid w:val="0"/>
                              <w:ind w:left="360"/>
                              <w:rPr>
                                <w:sz w:val="22"/>
                              </w:rPr>
                            </w:pPr>
                            <w:r w:rsidRPr="00A82D34">
                              <w:rPr>
                                <w:sz w:val="22"/>
                              </w:rPr>
                              <w:t>These debates will include detailed discussion of policies such as tax and regulatory restrictions on key industries, limitations on key incentives for product innovation, and public-private partnership versus “industry interference” in policymaking.</w:t>
                            </w:r>
                          </w:p>
                          <w:p w14:paraId="2191897E" w14:textId="77777777" w:rsidR="007831EB" w:rsidRDefault="00A82D34" w:rsidP="007831EB">
                            <w:pPr>
                              <w:pStyle w:val="ListParagraph"/>
                              <w:numPr>
                                <w:ilvl w:val="0"/>
                                <w:numId w:val="14"/>
                              </w:numPr>
                              <w:snapToGrid w:val="0"/>
                              <w:ind w:left="360"/>
                              <w:rPr>
                                <w:sz w:val="22"/>
                              </w:rPr>
                            </w:pPr>
                            <w:r w:rsidRPr="00A82D34">
                              <w:rPr>
                                <w:sz w:val="22"/>
                              </w:rPr>
                              <w:t>Nor will they stay in Geneva: the discussion will likely include specific calls and pressure on national governments to adopt WHO-recommended policies and regulations to promote public health – meaning that these discussions may shape the policy landscape at home and in export markets.</w:t>
                            </w:r>
                          </w:p>
                          <w:p w14:paraId="09BB63D7" w14:textId="6645DF39" w:rsidR="00A82D34" w:rsidRPr="007831EB" w:rsidRDefault="00A82D34" w:rsidP="007831EB">
                            <w:pPr>
                              <w:pStyle w:val="ListParagraph"/>
                              <w:numPr>
                                <w:ilvl w:val="0"/>
                                <w:numId w:val="14"/>
                              </w:numPr>
                              <w:snapToGrid w:val="0"/>
                              <w:ind w:left="360"/>
                              <w:rPr>
                                <w:sz w:val="22"/>
                              </w:rPr>
                            </w:pPr>
                            <w:r w:rsidRPr="007831EB">
                              <w:rPr>
                                <w:sz w:val="22"/>
                              </w:rPr>
                              <w:t>This document provides briefing materials and advocacy tools that can be used by international business and sector-specific associations to engage with their governments and their members to highlight priority agenda items and concerns ahead of the WHO EB meeting.  Specific tools include key messages, talking points, template letters and supporting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E7734" id="_x0000_t202" coordsize="21600,21600" o:spt="202" path="m,l,21600r21600,l21600,xe">
                <v:stroke joinstyle="miter"/>
                <v:path gradientshapeok="t" o:connecttype="rect"/>
              </v:shapetype>
              <v:shape id="Text Box 2" o:spid="_x0000_s1026" type="#_x0000_t202" style="position:absolute;left:0;text-align:left;margin-left:-1.5pt;margin-top:16.95pt;width:464.25pt;height:2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">
                <v:textbox>
                  <w:txbxContent>
                    <w:p w14:paraId="443B19C8" w14:textId="4E21ACEE" w:rsidR="00A82D34" w:rsidRPr="00B116E2" w:rsidRDefault="00A82D34" w:rsidP="00A82D34">
                      <w:pPr>
                        <w:rPr>
                          <w:b/>
                          <w:szCs w:val="24"/>
                        </w:rPr>
                      </w:pPr>
                      <w:r w:rsidRPr="00B116E2">
                        <w:rPr>
                          <w:b/>
                          <w:szCs w:val="24"/>
                        </w:rPr>
                        <w:t>KEY POINTS</w:t>
                      </w:r>
                    </w:p>
                    <w:p w14:paraId="2A58EB05" w14:textId="77777777" w:rsidR="00A82D34" w:rsidRDefault="00A82D34" w:rsidP="00A82D34">
                      <w:pPr>
                        <w:rPr>
                          <w:b/>
                          <w:sz w:val="22"/>
                        </w:rPr>
                      </w:pPr>
                    </w:p>
                    <w:p w14:paraId="303CDEBB" w14:textId="33458616" w:rsidR="00A82D34" w:rsidRPr="00A82D34" w:rsidRDefault="00A82D34" w:rsidP="007831EB">
                      <w:pPr>
                        <w:pStyle w:val="ListParagraph"/>
                        <w:numPr>
                          <w:ilvl w:val="0"/>
                          <w:numId w:val="14"/>
                        </w:numPr>
                        <w:snapToGrid w:val="0"/>
                        <w:ind w:left="360"/>
                        <w:rPr>
                          <w:sz w:val="22"/>
                        </w:rPr>
                      </w:pPr>
                      <w:r w:rsidRPr="00A82D34">
                        <w:rPr>
                          <w:sz w:val="22"/>
                        </w:rPr>
                        <w:t>Global businesses across in</w:t>
                      </w:r>
                      <w:bookmarkStart w:id="1" w:name="_GoBack"/>
                      <w:bookmarkEnd w:id="1"/>
                      <w:r w:rsidRPr="00A82D34">
                        <w:rPr>
                          <w:sz w:val="22"/>
                        </w:rPr>
                        <w:t>dustries could be impacted by next month</w:t>
                      </w:r>
                      <w:r>
                        <w:rPr>
                          <w:sz w:val="22"/>
                        </w:rPr>
                        <w:t xml:space="preserve">’s </w:t>
                      </w:r>
                      <w:r w:rsidRPr="00A82D34">
                        <w:rPr>
                          <w:sz w:val="22"/>
                        </w:rPr>
                        <w:t>World Health Organization’s Executive Board meet</w:t>
                      </w:r>
                      <w:r>
                        <w:rPr>
                          <w:sz w:val="22"/>
                        </w:rPr>
                        <w:t xml:space="preserve">ing, with policy implications from discussions on health-related topics such as </w:t>
                      </w:r>
                      <w:r w:rsidRPr="00A82D34">
                        <w:rPr>
                          <w:sz w:val="22"/>
                        </w:rPr>
                        <w:t>health innovation</w:t>
                      </w:r>
                      <w:r>
                        <w:rPr>
                          <w:sz w:val="22"/>
                        </w:rPr>
                        <w:t xml:space="preserve">, </w:t>
                      </w:r>
                      <w:r w:rsidRPr="00A82D34">
                        <w:rPr>
                          <w:sz w:val="22"/>
                        </w:rPr>
                        <w:t>obesity, air pollutio</w:t>
                      </w:r>
                      <w:r>
                        <w:rPr>
                          <w:sz w:val="22"/>
                        </w:rPr>
                        <w:t>n and</w:t>
                      </w:r>
                      <w:r w:rsidRPr="00A82D34">
                        <w:rPr>
                          <w:sz w:val="22"/>
                        </w:rPr>
                        <w:t xml:space="preserve"> digital health. </w:t>
                      </w:r>
                    </w:p>
                    <w:p w14:paraId="46F4F0B9" w14:textId="0D35BCE8" w:rsidR="00A82D34" w:rsidRPr="00A82D34" w:rsidRDefault="00A82D34" w:rsidP="007831EB">
                      <w:pPr>
                        <w:pStyle w:val="ListParagraph"/>
                        <w:numPr>
                          <w:ilvl w:val="0"/>
                          <w:numId w:val="14"/>
                        </w:numPr>
                        <w:snapToGrid w:val="0"/>
                        <w:ind w:left="360"/>
                        <w:rPr>
                          <w:sz w:val="22"/>
                        </w:rPr>
                      </w:pPr>
                      <w:r w:rsidRPr="00A82D34">
                        <w:rPr>
                          <w:sz w:val="22"/>
                        </w:rPr>
                        <w:t>These debates will include detailed discussion of policies such as tax and regulatory restrictions on key industries, limitations on key incentives for product innovation, and public-private partnership versus “industry interference” in policymaking.</w:t>
                      </w:r>
                    </w:p>
                    <w:p w14:paraId="2191897E" w14:textId="77777777" w:rsidR="007831EB" w:rsidRDefault="00A82D34" w:rsidP="007831EB">
                      <w:pPr>
                        <w:pStyle w:val="ListParagraph"/>
                        <w:numPr>
                          <w:ilvl w:val="0"/>
                          <w:numId w:val="14"/>
                        </w:numPr>
                        <w:snapToGrid w:val="0"/>
                        <w:ind w:left="360"/>
                        <w:rPr>
                          <w:sz w:val="22"/>
                        </w:rPr>
                      </w:pPr>
                      <w:r w:rsidRPr="00A82D34">
                        <w:rPr>
                          <w:sz w:val="22"/>
                        </w:rPr>
                        <w:t>Nor will they stay in Geneva: the discussion will likely include specific calls and pressure on national governments to adopt WHO-recommended policies and regulations to promote public health – meaning that these discussions may shape the policy landscape at home and in export markets.</w:t>
                      </w:r>
                    </w:p>
                    <w:p w14:paraId="09BB63D7" w14:textId="6645DF39" w:rsidR="00A82D34" w:rsidRPr="007831EB" w:rsidRDefault="00A82D34" w:rsidP="007831EB">
                      <w:pPr>
                        <w:pStyle w:val="ListParagraph"/>
                        <w:numPr>
                          <w:ilvl w:val="0"/>
                          <w:numId w:val="14"/>
                        </w:numPr>
                        <w:snapToGrid w:val="0"/>
                        <w:ind w:left="360"/>
                        <w:rPr>
                          <w:sz w:val="22"/>
                        </w:rPr>
                      </w:pPr>
                      <w:r w:rsidRPr="007831EB">
                        <w:rPr>
                          <w:sz w:val="22"/>
                        </w:rPr>
                        <w:t>This document provides briefing materials and advocacy tools that can be used by international business and sector-specific associations to engage with their governments and their members to highlight priority agenda items and concerns ahead of the WHO EB meeting.  Specific tools include key messages, talking points, template letters and supporting resources.</w:t>
                      </w:r>
                    </w:p>
                  </w:txbxContent>
                </v:textbox>
                <w10:wrap type="square"/>
              </v:shape>
            </w:pict>
          </mc:Fallback>
        </mc:AlternateContent>
      </w:r>
    </w:p>
    <w:p w14:paraId="3FC015DD" w14:textId="396C0B7E" w:rsidR="00515C3A" w:rsidRDefault="00515C3A" w:rsidP="00515C3A">
      <w:pPr>
        <w:rPr>
          <w:sz w:val="22"/>
        </w:rPr>
      </w:pPr>
    </w:p>
    <w:p w14:paraId="0101A304" w14:textId="77777777" w:rsidR="00B116E2" w:rsidRDefault="00B116E2" w:rsidP="00515C3A">
      <w:pPr>
        <w:rPr>
          <w:sz w:val="22"/>
        </w:rPr>
      </w:pPr>
    </w:p>
    <w:p w14:paraId="7D0934AC" w14:textId="4BDBC640" w:rsidR="00515C3A" w:rsidRPr="00B116E2" w:rsidRDefault="00515C3A">
      <w:pPr>
        <w:rPr>
          <w:b/>
          <w:szCs w:val="24"/>
        </w:rPr>
      </w:pPr>
      <w:r w:rsidRPr="00B116E2">
        <w:rPr>
          <w:b/>
          <w:szCs w:val="24"/>
        </w:rPr>
        <w:t>BACKGROUND</w:t>
      </w:r>
    </w:p>
    <w:p w14:paraId="495151E7" w14:textId="77777777" w:rsidR="004D5810" w:rsidRDefault="004D5810">
      <w:pPr>
        <w:rPr>
          <w:b/>
          <w:sz w:val="22"/>
        </w:rPr>
      </w:pPr>
    </w:p>
    <w:p w14:paraId="6D6B77E1" w14:textId="153EE064" w:rsidR="004D5810" w:rsidRPr="00201BA7" w:rsidRDefault="00042CC7" w:rsidP="007831EB">
      <w:pPr>
        <w:rPr>
          <w:sz w:val="22"/>
        </w:rPr>
      </w:pPr>
      <w:r w:rsidRPr="00612215">
        <w:rPr>
          <w:sz w:val="22"/>
        </w:rPr>
        <w:t xml:space="preserve">The World Health Organization </w:t>
      </w:r>
      <w:r w:rsidR="00171319" w:rsidRPr="00612215">
        <w:rPr>
          <w:sz w:val="22"/>
        </w:rPr>
        <w:t xml:space="preserve">is </w:t>
      </w:r>
      <w:r w:rsidRPr="00612215">
        <w:rPr>
          <w:sz w:val="22"/>
        </w:rPr>
        <w:t xml:space="preserve">a Geneva-based, United Nations organization </w:t>
      </w:r>
      <w:r w:rsidR="00D30EAE" w:rsidRPr="00612215">
        <w:rPr>
          <w:sz w:val="22"/>
        </w:rPr>
        <w:t xml:space="preserve">focused on promoting </w:t>
      </w:r>
      <w:r w:rsidR="00D30EAE" w:rsidRPr="00201BA7">
        <w:rPr>
          <w:sz w:val="22"/>
        </w:rPr>
        <w:t>global health</w:t>
      </w:r>
      <w:r w:rsidR="007831EB">
        <w:rPr>
          <w:sz w:val="22"/>
        </w:rPr>
        <w:t xml:space="preserve">. </w:t>
      </w:r>
      <w:r w:rsidR="004D5810" w:rsidRPr="00201BA7">
        <w:rPr>
          <w:sz w:val="22"/>
        </w:rPr>
        <w:t>In recent years, the WHO’s agenda has expanded from traditional areas such as responding to disease outbreaks to more complex health issues such as obesity well as issues less directly related to health such as climate change, population migration, nuclear power, and transportation. These efforts have overstretched the organization’s resources and scattered its focus while also expanding its potential impact on business.</w:t>
      </w:r>
    </w:p>
    <w:p w14:paraId="4987C84B" w14:textId="77777777" w:rsidR="007831EB" w:rsidRDefault="007831EB" w:rsidP="007831EB">
      <w:pPr>
        <w:pStyle w:val="ListParagraph"/>
        <w:rPr>
          <w:sz w:val="22"/>
        </w:rPr>
      </w:pPr>
    </w:p>
    <w:p w14:paraId="4EE2D8F1" w14:textId="63C4261D" w:rsidR="004D5810" w:rsidRPr="00201BA7" w:rsidRDefault="007831EB" w:rsidP="004D5810">
      <w:pPr>
        <w:pStyle w:val="ListParagraph"/>
        <w:numPr>
          <w:ilvl w:val="0"/>
          <w:numId w:val="1"/>
        </w:numPr>
        <w:rPr>
          <w:sz w:val="22"/>
        </w:rPr>
      </w:pPr>
      <w:r>
        <w:rPr>
          <w:sz w:val="22"/>
        </w:rPr>
        <w:t>A</w:t>
      </w:r>
      <w:r w:rsidR="004D5810" w:rsidRPr="00201BA7">
        <w:rPr>
          <w:sz w:val="22"/>
        </w:rPr>
        <w:t xml:space="preserve"> concerning number of WHO initiatives (and resulting policy recommendations) </w:t>
      </w:r>
      <w:r>
        <w:rPr>
          <w:sz w:val="22"/>
        </w:rPr>
        <w:t>do not consider</w:t>
      </w:r>
      <w:r w:rsidR="004D5810" w:rsidRPr="00201BA7">
        <w:rPr>
          <w:sz w:val="22"/>
        </w:rPr>
        <w:t xml:space="preserve"> the economic or trade impact, reflecting narrow approaches that are not based on good regulatory practices or </w:t>
      </w:r>
      <w:r>
        <w:rPr>
          <w:sz w:val="22"/>
        </w:rPr>
        <w:t xml:space="preserve">are unproven in </w:t>
      </w:r>
      <w:r w:rsidR="004D5810" w:rsidRPr="00201BA7">
        <w:rPr>
          <w:sz w:val="22"/>
        </w:rPr>
        <w:t xml:space="preserve">achieving their purported goals.  </w:t>
      </w:r>
    </w:p>
    <w:p w14:paraId="732CD5EA" w14:textId="14F2B754" w:rsidR="007831EB" w:rsidRDefault="004D5810" w:rsidP="007831EB">
      <w:pPr>
        <w:pStyle w:val="ListParagraph"/>
        <w:numPr>
          <w:ilvl w:val="0"/>
          <w:numId w:val="1"/>
        </w:numPr>
        <w:rPr>
          <w:sz w:val="22"/>
        </w:rPr>
      </w:pPr>
      <w:r w:rsidRPr="00201BA7">
        <w:rPr>
          <w:sz w:val="22"/>
        </w:rPr>
        <w:t xml:space="preserve">Finally, many WHO initiatives are being drafted in ways that do not reflect good regulatory practice, including transparency </w:t>
      </w:r>
      <w:r w:rsidR="007831EB">
        <w:rPr>
          <w:sz w:val="22"/>
        </w:rPr>
        <w:t>and stakeholder</w:t>
      </w:r>
      <w:r w:rsidRPr="00201BA7">
        <w:rPr>
          <w:sz w:val="22"/>
        </w:rPr>
        <w:t xml:space="preserve"> engagement. In many cases, WHO staff ignor</w:t>
      </w:r>
      <w:r w:rsidR="007831EB">
        <w:rPr>
          <w:sz w:val="22"/>
        </w:rPr>
        <w:t>e</w:t>
      </w:r>
      <w:r w:rsidRPr="00201BA7">
        <w:rPr>
          <w:sz w:val="22"/>
        </w:rPr>
        <w:t xml:space="preserve"> or undervalue the contributions of critical stakeholders</w:t>
      </w:r>
      <w:r w:rsidR="007831EB">
        <w:rPr>
          <w:sz w:val="22"/>
        </w:rPr>
        <w:t xml:space="preserve"> such as </w:t>
      </w:r>
      <w:r w:rsidRPr="00201BA7">
        <w:rPr>
          <w:sz w:val="22"/>
        </w:rPr>
        <w:t>private sector actors with expertise and resources to support health initiatives.</w:t>
      </w:r>
    </w:p>
    <w:p w14:paraId="2BF561A8" w14:textId="0B9EDBA4" w:rsidR="007831EB" w:rsidRPr="007831EB" w:rsidRDefault="007831EB" w:rsidP="007831EB">
      <w:pPr>
        <w:pStyle w:val="ListParagraph"/>
        <w:numPr>
          <w:ilvl w:val="0"/>
          <w:numId w:val="1"/>
        </w:numPr>
        <w:rPr>
          <w:sz w:val="22"/>
        </w:rPr>
      </w:pPr>
      <w:r w:rsidRPr="007831EB">
        <w:rPr>
          <w:sz w:val="22"/>
        </w:rPr>
        <w:t>The policies and recommendations included in these reports and initiatives do not stay in Geneva</w:t>
      </w:r>
      <w:r>
        <w:rPr>
          <w:sz w:val="22"/>
        </w:rPr>
        <w:t>,</w:t>
      </w:r>
      <w:r w:rsidRPr="007831EB">
        <w:rPr>
          <w:sz w:val="22"/>
        </w:rPr>
        <w:t xml:space="preserve"> but actively influenc</w:t>
      </w:r>
      <w:r>
        <w:rPr>
          <w:sz w:val="22"/>
        </w:rPr>
        <w:t>e</w:t>
      </w:r>
      <w:r w:rsidRPr="007831EB">
        <w:rPr>
          <w:sz w:val="22"/>
        </w:rPr>
        <w:t xml:space="preserve"> policy at the national level in ways that could impact businesses </w:t>
      </w:r>
      <w:r>
        <w:rPr>
          <w:sz w:val="22"/>
        </w:rPr>
        <w:t>and exports</w:t>
      </w:r>
      <w:r w:rsidRPr="007831EB">
        <w:rPr>
          <w:sz w:val="22"/>
        </w:rPr>
        <w:t>. Supporters of these policy approaches regularly use WHO reports and resolutions to pressure national governments to adopt similar policies</w:t>
      </w:r>
      <w:r>
        <w:rPr>
          <w:sz w:val="22"/>
        </w:rPr>
        <w:t xml:space="preserve">, and the WHO itself plans to push national governments </w:t>
      </w:r>
      <w:r w:rsidRPr="007831EB">
        <w:rPr>
          <w:sz w:val="22"/>
        </w:rPr>
        <w:t xml:space="preserve">to follow its lead </w:t>
      </w:r>
      <w:r>
        <w:rPr>
          <w:sz w:val="22"/>
        </w:rPr>
        <w:t>through</w:t>
      </w:r>
      <w:r w:rsidRPr="007831EB">
        <w:rPr>
          <w:sz w:val="22"/>
        </w:rPr>
        <w:t xml:space="preserve"> </w:t>
      </w:r>
      <w:r>
        <w:rPr>
          <w:sz w:val="22"/>
        </w:rPr>
        <w:t xml:space="preserve">policy </w:t>
      </w:r>
      <w:r w:rsidRPr="007831EB">
        <w:rPr>
          <w:sz w:val="22"/>
        </w:rPr>
        <w:t xml:space="preserve">guidance and </w:t>
      </w:r>
      <w:r>
        <w:rPr>
          <w:sz w:val="22"/>
        </w:rPr>
        <w:t xml:space="preserve">direct lobbying of </w:t>
      </w:r>
      <w:r w:rsidRPr="007831EB">
        <w:rPr>
          <w:sz w:val="22"/>
        </w:rPr>
        <w:t xml:space="preserve">member states to adopt its solutions. </w:t>
      </w:r>
    </w:p>
    <w:p w14:paraId="5093BB87" w14:textId="4E8E16C3" w:rsidR="007831EB" w:rsidRDefault="007831EB" w:rsidP="004D5810">
      <w:pPr>
        <w:rPr>
          <w:sz w:val="22"/>
        </w:rPr>
      </w:pPr>
    </w:p>
    <w:p w14:paraId="3E9A8C19" w14:textId="77777777" w:rsidR="004D5810" w:rsidRPr="00201BA7" w:rsidRDefault="004D5810" w:rsidP="004D5810">
      <w:pPr>
        <w:rPr>
          <w:sz w:val="22"/>
        </w:rPr>
      </w:pPr>
      <w:r w:rsidRPr="00201BA7">
        <w:rPr>
          <w:sz w:val="22"/>
        </w:rPr>
        <w:t xml:space="preserve">Examples of problematic WHO activity include initiatives that negatively impact global innovation in health products, that raise business costs through tax or fiscal measures, that limit </w:t>
      </w:r>
      <w:r w:rsidRPr="00201BA7">
        <w:rPr>
          <w:sz w:val="22"/>
        </w:rPr>
        <w:lastRenderedPageBreak/>
        <w:t>normal business activity such as marketing of products, and frameworks designed to discourage governments from engaging with business in setting and implementing health initiatives.</w:t>
      </w:r>
    </w:p>
    <w:p w14:paraId="7F21459F" w14:textId="77777777" w:rsidR="00CF4B76" w:rsidRDefault="00CF4B76" w:rsidP="00A82D34">
      <w:pPr>
        <w:rPr>
          <w:sz w:val="22"/>
        </w:rPr>
      </w:pPr>
    </w:p>
    <w:p w14:paraId="024530B5" w14:textId="30105F35" w:rsidR="00A82D34" w:rsidRPr="00201BA7" w:rsidRDefault="00171319" w:rsidP="00A82D34">
      <w:pPr>
        <w:rPr>
          <w:sz w:val="22"/>
        </w:rPr>
      </w:pPr>
      <w:r w:rsidRPr="00201BA7">
        <w:rPr>
          <w:sz w:val="22"/>
        </w:rPr>
        <w:t>The WHO</w:t>
      </w:r>
      <w:r w:rsidR="00BD24ED" w:rsidRPr="00201BA7">
        <w:rPr>
          <w:sz w:val="22"/>
        </w:rPr>
        <w:t xml:space="preserve">’s </w:t>
      </w:r>
      <w:r w:rsidR="00D30EAE" w:rsidRPr="00201BA7">
        <w:rPr>
          <w:sz w:val="22"/>
        </w:rPr>
        <w:t xml:space="preserve">Executive Board (EB, its highest-level governing body) </w:t>
      </w:r>
      <w:r w:rsidR="00BD24ED" w:rsidRPr="00201BA7">
        <w:rPr>
          <w:sz w:val="22"/>
        </w:rPr>
        <w:t>will meet from</w:t>
      </w:r>
      <w:r w:rsidR="00D30EAE" w:rsidRPr="00201BA7">
        <w:rPr>
          <w:sz w:val="22"/>
        </w:rPr>
        <w:t xml:space="preserve"> </w:t>
      </w:r>
      <w:r w:rsidR="007333C3">
        <w:rPr>
          <w:sz w:val="22"/>
        </w:rPr>
        <w:t>February 3-8</w:t>
      </w:r>
      <w:r w:rsidR="00D30EAE" w:rsidRPr="00201BA7">
        <w:rPr>
          <w:sz w:val="22"/>
        </w:rPr>
        <w:t>, 20</w:t>
      </w:r>
      <w:r w:rsidR="007333C3">
        <w:rPr>
          <w:sz w:val="22"/>
        </w:rPr>
        <w:t>20</w:t>
      </w:r>
      <w:r w:rsidRPr="00201BA7">
        <w:rPr>
          <w:sz w:val="22"/>
        </w:rPr>
        <w:t xml:space="preserve"> in order to set the agenda and direction for its larger annual meeting, the May World Health Assembly.</w:t>
      </w:r>
      <w:r w:rsidR="004D5810">
        <w:rPr>
          <w:sz w:val="22"/>
        </w:rPr>
        <w:t xml:space="preserve"> </w:t>
      </w:r>
      <w:r w:rsidR="00A82D34" w:rsidRPr="00201BA7">
        <w:rPr>
          <w:sz w:val="22"/>
        </w:rPr>
        <w:t xml:space="preserve">The EB </w:t>
      </w:r>
      <w:hyperlink r:id="rId8" w:history="1">
        <w:r w:rsidR="004D5810" w:rsidRPr="00201BA7">
          <w:rPr>
            <w:rStyle w:val="Hyperlink"/>
            <w:sz w:val="22"/>
          </w:rPr>
          <w:t>agenda</w:t>
        </w:r>
      </w:hyperlink>
      <w:r w:rsidR="004D5810" w:rsidRPr="00201BA7">
        <w:rPr>
          <w:sz w:val="22"/>
        </w:rPr>
        <w:t xml:space="preserve"> </w:t>
      </w:r>
      <w:r w:rsidR="00A82D34" w:rsidRPr="00201BA7">
        <w:rPr>
          <w:sz w:val="22"/>
        </w:rPr>
        <w:t xml:space="preserve">will include an ambitious range of </w:t>
      </w:r>
      <w:hyperlink r:id="rId9" w:history="1">
        <w:r w:rsidR="00A82D34" w:rsidRPr="004D5810">
          <w:rPr>
            <w:rStyle w:val="Hyperlink"/>
            <w:sz w:val="22"/>
          </w:rPr>
          <w:t>reports, resolutions, and discussions</w:t>
        </w:r>
      </w:hyperlink>
      <w:r w:rsidR="004D5810">
        <w:rPr>
          <w:sz w:val="22"/>
        </w:rPr>
        <w:t xml:space="preserve"> covering issues ranging from sp</w:t>
      </w:r>
      <w:r w:rsidR="00A82D34" w:rsidRPr="00201BA7">
        <w:rPr>
          <w:sz w:val="22"/>
        </w:rPr>
        <w:t xml:space="preserve">ecific diseases (such as </w:t>
      </w:r>
      <w:r w:rsidR="004D5810">
        <w:rPr>
          <w:sz w:val="22"/>
        </w:rPr>
        <w:t>tuberculosis</w:t>
      </w:r>
      <w:r w:rsidR="00A82D34" w:rsidRPr="00201BA7">
        <w:rPr>
          <w:sz w:val="22"/>
        </w:rPr>
        <w:t xml:space="preserve">) to broad health </w:t>
      </w:r>
      <w:r w:rsidR="004D5810">
        <w:rPr>
          <w:sz w:val="22"/>
        </w:rPr>
        <w:t>goals</w:t>
      </w:r>
      <w:r w:rsidR="00A82D34" w:rsidRPr="00201BA7">
        <w:rPr>
          <w:sz w:val="22"/>
        </w:rPr>
        <w:t xml:space="preserve"> (such as </w:t>
      </w:r>
      <w:r w:rsidR="004D5810">
        <w:rPr>
          <w:sz w:val="22"/>
        </w:rPr>
        <w:t>reducing</w:t>
      </w:r>
      <w:r w:rsidR="00A82D34" w:rsidRPr="00201BA7">
        <w:rPr>
          <w:sz w:val="22"/>
        </w:rPr>
        <w:t xml:space="preserve"> obesity) to areas that impact health (such as </w:t>
      </w:r>
      <w:r w:rsidR="004D5810">
        <w:rPr>
          <w:sz w:val="22"/>
        </w:rPr>
        <w:t>air pollution</w:t>
      </w:r>
      <w:r w:rsidR="00A82D34" w:rsidRPr="00201BA7">
        <w:rPr>
          <w:sz w:val="22"/>
        </w:rPr>
        <w:t xml:space="preserve">). Many of these agenda items will </w:t>
      </w:r>
      <w:r w:rsidR="004D5810">
        <w:rPr>
          <w:sz w:val="22"/>
        </w:rPr>
        <w:t xml:space="preserve">discuss (and advocate for) </w:t>
      </w:r>
      <w:r w:rsidR="00A82D34" w:rsidRPr="00201BA7">
        <w:rPr>
          <w:sz w:val="22"/>
        </w:rPr>
        <w:t xml:space="preserve">policies, regulations, and programs national governments should adopt to address these health issues. </w:t>
      </w:r>
    </w:p>
    <w:p w14:paraId="0683E13F" w14:textId="0C64DB26" w:rsidR="00042B69" w:rsidRDefault="00042B69">
      <w:pPr>
        <w:rPr>
          <w:sz w:val="22"/>
        </w:rPr>
      </w:pPr>
    </w:p>
    <w:p w14:paraId="6B248507" w14:textId="4F0F4369" w:rsidR="00A82D34" w:rsidRDefault="00042B69">
      <w:pPr>
        <w:rPr>
          <w:sz w:val="22"/>
        </w:rPr>
      </w:pPr>
      <w:r>
        <w:rPr>
          <w:sz w:val="22"/>
        </w:rPr>
        <w:t xml:space="preserve">The EB currently includes 34 </w:t>
      </w:r>
      <w:r w:rsidR="00A82D34">
        <w:rPr>
          <w:sz w:val="22"/>
        </w:rPr>
        <w:t xml:space="preserve">countries with </w:t>
      </w:r>
      <w:r>
        <w:rPr>
          <w:sz w:val="22"/>
        </w:rPr>
        <w:t>a formal vote</w:t>
      </w:r>
      <w:r w:rsidR="00A82D34">
        <w:rPr>
          <w:sz w:val="22"/>
        </w:rPr>
        <w:t>:</w:t>
      </w:r>
    </w:p>
    <w:p w14:paraId="1799FA2C" w14:textId="77777777" w:rsidR="007831EB" w:rsidRDefault="007831EB">
      <w:pPr>
        <w:rPr>
          <w:sz w:val="22"/>
        </w:rPr>
      </w:pPr>
    </w:p>
    <w:tbl>
      <w:tblPr>
        <w:tblW w:w="8905" w:type="dxa"/>
        <w:jc w:val="center"/>
        <w:tblLayout w:type="fixed"/>
        <w:tblLook w:val="04A0" w:firstRow="1" w:lastRow="0" w:firstColumn="1" w:lastColumn="0" w:noHBand="0" w:noVBand="1"/>
      </w:tblPr>
      <w:tblGrid>
        <w:gridCol w:w="1781"/>
        <w:gridCol w:w="1781"/>
        <w:gridCol w:w="1781"/>
        <w:gridCol w:w="1781"/>
        <w:gridCol w:w="1781"/>
      </w:tblGrid>
      <w:tr w:rsidR="00042B69" w14:paraId="2CFFB593" w14:textId="77777777" w:rsidTr="00A82D34">
        <w:trPr>
          <w:trHeight w:val="70"/>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14:paraId="6437318C" w14:textId="792B37AA" w:rsidR="00042B69" w:rsidRPr="004D5810" w:rsidRDefault="00042B69">
            <w:pPr>
              <w:jc w:val="center"/>
              <w:rPr>
                <w:rFonts w:eastAsia="Times New Roman"/>
                <w:b/>
                <w:bCs/>
                <w:color w:val="000000"/>
                <w:sz w:val="22"/>
                <w:u w:val="single"/>
              </w:rPr>
            </w:pPr>
            <w:r w:rsidRPr="004D5810">
              <w:rPr>
                <w:rFonts w:eastAsia="Times New Roman"/>
                <w:b/>
                <w:bCs/>
                <w:color w:val="000000"/>
                <w:sz w:val="22"/>
                <w:u w:val="single"/>
              </w:rPr>
              <w:t>America</w:t>
            </w:r>
            <w:r w:rsidR="00B178F9" w:rsidRPr="004D5810">
              <w:rPr>
                <w:rFonts w:eastAsia="Times New Roman"/>
                <w:b/>
                <w:bCs/>
                <w:color w:val="000000"/>
                <w:sz w:val="22"/>
                <w:u w:val="single"/>
              </w:rPr>
              <w:t>s</w:t>
            </w:r>
          </w:p>
        </w:tc>
        <w:tc>
          <w:tcPr>
            <w:tcW w:w="1781" w:type="dxa"/>
            <w:tcBorders>
              <w:top w:val="single" w:sz="4" w:space="0" w:color="auto"/>
              <w:left w:val="nil"/>
              <w:bottom w:val="single" w:sz="4" w:space="0" w:color="auto"/>
              <w:right w:val="single" w:sz="4" w:space="0" w:color="auto"/>
            </w:tcBorders>
            <w:vAlign w:val="center"/>
            <w:hideMark/>
          </w:tcPr>
          <w:p w14:paraId="3474B2EF" w14:textId="77777777" w:rsidR="00042B69" w:rsidRPr="004D5810" w:rsidRDefault="00042B69">
            <w:pPr>
              <w:jc w:val="center"/>
              <w:rPr>
                <w:rFonts w:eastAsia="Times New Roman"/>
                <w:b/>
                <w:bCs/>
                <w:color w:val="000000"/>
                <w:sz w:val="22"/>
                <w:u w:val="single"/>
              </w:rPr>
            </w:pPr>
            <w:r w:rsidRPr="004D5810">
              <w:rPr>
                <w:rFonts w:eastAsia="Times New Roman"/>
                <w:b/>
                <w:bCs/>
                <w:color w:val="000000"/>
                <w:sz w:val="22"/>
                <w:u w:val="single"/>
              </w:rPr>
              <w:t>Europe</w:t>
            </w:r>
          </w:p>
        </w:tc>
        <w:tc>
          <w:tcPr>
            <w:tcW w:w="1781" w:type="dxa"/>
            <w:tcBorders>
              <w:top w:val="single" w:sz="4" w:space="0" w:color="auto"/>
              <w:left w:val="nil"/>
              <w:bottom w:val="single" w:sz="4" w:space="0" w:color="auto"/>
              <w:right w:val="single" w:sz="4" w:space="0" w:color="auto"/>
            </w:tcBorders>
            <w:vAlign w:val="center"/>
            <w:hideMark/>
          </w:tcPr>
          <w:p w14:paraId="7C0143F3" w14:textId="0582CF33" w:rsidR="00042B69" w:rsidRPr="004D5810" w:rsidRDefault="00042B69">
            <w:pPr>
              <w:jc w:val="center"/>
              <w:rPr>
                <w:rFonts w:eastAsia="Times New Roman"/>
                <w:b/>
                <w:bCs/>
                <w:color w:val="000000"/>
                <w:sz w:val="22"/>
                <w:u w:val="single"/>
              </w:rPr>
            </w:pPr>
            <w:r w:rsidRPr="004D5810">
              <w:rPr>
                <w:rFonts w:eastAsia="Times New Roman"/>
                <w:b/>
                <w:bCs/>
                <w:color w:val="000000"/>
                <w:sz w:val="22"/>
                <w:u w:val="single"/>
              </w:rPr>
              <w:t>Asia</w:t>
            </w:r>
            <w:r w:rsidR="00A82D34" w:rsidRPr="004D5810">
              <w:rPr>
                <w:rFonts w:eastAsia="Times New Roman"/>
                <w:b/>
                <w:bCs/>
                <w:color w:val="000000"/>
                <w:sz w:val="22"/>
                <w:u w:val="single"/>
              </w:rPr>
              <w:t>-</w:t>
            </w:r>
            <w:r w:rsidRPr="004D5810">
              <w:rPr>
                <w:rFonts w:eastAsia="Times New Roman"/>
                <w:b/>
                <w:bCs/>
                <w:color w:val="000000"/>
                <w:sz w:val="22"/>
                <w:u w:val="single"/>
              </w:rPr>
              <w:t>Pacific</w:t>
            </w:r>
          </w:p>
        </w:tc>
        <w:tc>
          <w:tcPr>
            <w:tcW w:w="1781" w:type="dxa"/>
            <w:tcBorders>
              <w:top w:val="single" w:sz="4" w:space="0" w:color="auto"/>
              <w:left w:val="nil"/>
              <w:bottom w:val="single" w:sz="4" w:space="0" w:color="auto"/>
              <w:right w:val="single" w:sz="4" w:space="0" w:color="auto"/>
            </w:tcBorders>
            <w:vAlign w:val="center"/>
            <w:hideMark/>
          </w:tcPr>
          <w:p w14:paraId="5798CC45" w14:textId="77777777" w:rsidR="00042B69" w:rsidRPr="004D5810" w:rsidRDefault="00042B69">
            <w:pPr>
              <w:jc w:val="center"/>
              <w:rPr>
                <w:rFonts w:eastAsia="Times New Roman"/>
                <w:b/>
                <w:bCs/>
                <w:color w:val="000000"/>
                <w:sz w:val="22"/>
                <w:u w:val="single"/>
              </w:rPr>
            </w:pPr>
            <w:r w:rsidRPr="004D5810">
              <w:rPr>
                <w:rFonts w:eastAsia="Times New Roman"/>
                <w:b/>
                <w:bCs/>
                <w:color w:val="000000"/>
                <w:sz w:val="22"/>
                <w:u w:val="single"/>
              </w:rPr>
              <w:t>Africa</w:t>
            </w:r>
          </w:p>
        </w:tc>
        <w:tc>
          <w:tcPr>
            <w:tcW w:w="1781" w:type="dxa"/>
            <w:tcBorders>
              <w:top w:val="single" w:sz="4" w:space="0" w:color="auto"/>
              <w:left w:val="nil"/>
              <w:bottom w:val="single" w:sz="4" w:space="0" w:color="auto"/>
              <w:right w:val="single" w:sz="4" w:space="0" w:color="auto"/>
            </w:tcBorders>
            <w:vAlign w:val="center"/>
            <w:hideMark/>
          </w:tcPr>
          <w:p w14:paraId="1BE14ACF" w14:textId="0CB79C65" w:rsidR="00042B69" w:rsidRPr="004D5810" w:rsidRDefault="00042B69">
            <w:pPr>
              <w:jc w:val="center"/>
              <w:rPr>
                <w:rFonts w:eastAsia="Times New Roman"/>
                <w:b/>
                <w:bCs/>
                <w:color w:val="000000"/>
                <w:sz w:val="22"/>
                <w:u w:val="single"/>
              </w:rPr>
            </w:pPr>
            <w:r w:rsidRPr="004D5810">
              <w:rPr>
                <w:rFonts w:eastAsia="Times New Roman"/>
                <w:b/>
                <w:bCs/>
                <w:color w:val="000000"/>
                <w:sz w:val="22"/>
                <w:u w:val="single"/>
              </w:rPr>
              <w:t>Middle East</w:t>
            </w:r>
            <w:r w:rsidR="00A82D34" w:rsidRPr="004D5810">
              <w:rPr>
                <w:rFonts w:eastAsia="Times New Roman"/>
                <w:b/>
                <w:bCs/>
                <w:color w:val="000000"/>
                <w:sz w:val="22"/>
                <w:u w:val="single"/>
              </w:rPr>
              <w:t>/ North Africa</w:t>
            </w:r>
          </w:p>
        </w:tc>
      </w:tr>
      <w:tr w:rsidR="00A82D34" w14:paraId="10702A98" w14:textId="77777777" w:rsidTr="00A82D34">
        <w:trPr>
          <w:trHeight w:val="70"/>
          <w:jc w:val="center"/>
        </w:trPr>
        <w:tc>
          <w:tcPr>
            <w:tcW w:w="1781" w:type="dxa"/>
            <w:tcBorders>
              <w:top w:val="nil"/>
              <w:left w:val="single" w:sz="4" w:space="0" w:color="auto"/>
              <w:bottom w:val="nil"/>
              <w:right w:val="single" w:sz="4" w:space="0" w:color="auto"/>
            </w:tcBorders>
            <w:vAlign w:val="bottom"/>
            <w:hideMark/>
          </w:tcPr>
          <w:p w14:paraId="68E5A217" w14:textId="2608AD34" w:rsidR="00A82D34" w:rsidRPr="007831EB" w:rsidRDefault="00A82D34" w:rsidP="00A82D34">
            <w:pPr>
              <w:jc w:val="center"/>
              <w:rPr>
                <w:rFonts w:eastAsia="Times New Roman"/>
                <w:color w:val="000000"/>
                <w:sz w:val="20"/>
                <w:szCs w:val="20"/>
              </w:rPr>
            </w:pPr>
            <w:r w:rsidRPr="007831EB">
              <w:rPr>
                <w:color w:val="000000"/>
                <w:sz w:val="20"/>
                <w:szCs w:val="20"/>
              </w:rPr>
              <w:t>Argentina</w:t>
            </w:r>
          </w:p>
        </w:tc>
        <w:tc>
          <w:tcPr>
            <w:tcW w:w="1781" w:type="dxa"/>
            <w:tcBorders>
              <w:top w:val="nil"/>
              <w:left w:val="nil"/>
              <w:bottom w:val="nil"/>
              <w:right w:val="single" w:sz="4" w:space="0" w:color="auto"/>
            </w:tcBorders>
            <w:vAlign w:val="bottom"/>
            <w:hideMark/>
          </w:tcPr>
          <w:p w14:paraId="4C883674" w14:textId="26F8B5C8" w:rsidR="00A82D34" w:rsidRPr="007831EB" w:rsidRDefault="00A82D34" w:rsidP="00A82D34">
            <w:pPr>
              <w:jc w:val="center"/>
              <w:rPr>
                <w:rFonts w:eastAsia="Times New Roman"/>
                <w:color w:val="000000"/>
                <w:sz w:val="20"/>
                <w:szCs w:val="20"/>
              </w:rPr>
            </w:pPr>
            <w:r w:rsidRPr="007831EB">
              <w:rPr>
                <w:color w:val="000000"/>
                <w:sz w:val="20"/>
                <w:szCs w:val="20"/>
              </w:rPr>
              <w:t>Austria</w:t>
            </w:r>
          </w:p>
        </w:tc>
        <w:tc>
          <w:tcPr>
            <w:tcW w:w="1781" w:type="dxa"/>
            <w:tcBorders>
              <w:top w:val="nil"/>
              <w:left w:val="nil"/>
              <w:bottom w:val="nil"/>
              <w:right w:val="single" w:sz="4" w:space="0" w:color="auto"/>
            </w:tcBorders>
            <w:vAlign w:val="bottom"/>
            <w:hideMark/>
          </w:tcPr>
          <w:p w14:paraId="209DE1C6" w14:textId="19C444B4" w:rsidR="00A82D34" w:rsidRPr="007831EB" w:rsidRDefault="00A82D34" w:rsidP="00A82D34">
            <w:pPr>
              <w:jc w:val="center"/>
              <w:rPr>
                <w:rFonts w:eastAsia="Times New Roman"/>
                <w:color w:val="000000"/>
                <w:sz w:val="20"/>
                <w:szCs w:val="20"/>
              </w:rPr>
            </w:pPr>
            <w:r w:rsidRPr="007831EB">
              <w:rPr>
                <w:color w:val="000000"/>
                <w:sz w:val="20"/>
                <w:szCs w:val="20"/>
              </w:rPr>
              <w:t>Australia</w:t>
            </w:r>
          </w:p>
        </w:tc>
        <w:tc>
          <w:tcPr>
            <w:tcW w:w="1781" w:type="dxa"/>
            <w:tcBorders>
              <w:top w:val="nil"/>
              <w:left w:val="nil"/>
              <w:bottom w:val="nil"/>
              <w:right w:val="single" w:sz="4" w:space="0" w:color="auto"/>
            </w:tcBorders>
            <w:vAlign w:val="bottom"/>
            <w:hideMark/>
          </w:tcPr>
          <w:p w14:paraId="63EB3667" w14:textId="19524386" w:rsidR="00A82D34" w:rsidRPr="007831EB" w:rsidRDefault="00A82D34" w:rsidP="00A82D34">
            <w:pPr>
              <w:jc w:val="center"/>
              <w:rPr>
                <w:rFonts w:eastAsia="Times New Roman"/>
                <w:color w:val="000000"/>
                <w:sz w:val="20"/>
                <w:szCs w:val="20"/>
              </w:rPr>
            </w:pPr>
            <w:r w:rsidRPr="007831EB">
              <w:rPr>
                <w:color w:val="000000"/>
                <w:sz w:val="20"/>
                <w:szCs w:val="20"/>
              </w:rPr>
              <w:t>Benin</w:t>
            </w:r>
          </w:p>
        </w:tc>
        <w:tc>
          <w:tcPr>
            <w:tcW w:w="1781" w:type="dxa"/>
            <w:tcBorders>
              <w:top w:val="nil"/>
              <w:left w:val="nil"/>
              <w:bottom w:val="nil"/>
              <w:right w:val="single" w:sz="4" w:space="0" w:color="auto"/>
            </w:tcBorders>
            <w:vAlign w:val="bottom"/>
            <w:hideMark/>
          </w:tcPr>
          <w:p w14:paraId="51930694" w14:textId="16300D9A" w:rsidR="00A82D34" w:rsidRPr="007831EB" w:rsidRDefault="00A82D34" w:rsidP="00A82D34">
            <w:pPr>
              <w:jc w:val="center"/>
              <w:rPr>
                <w:rFonts w:eastAsia="Times New Roman"/>
                <w:color w:val="000000"/>
                <w:sz w:val="20"/>
                <w:szCs w:val="20"/>
              </w:rPr>
            </w:pPr>
            <w:r w:rsidRPr="007831EB">
              <w:rPr>
                <w:color w:val="000000"/>
                <w:sz w:val="20"/>
                <w:szCs w:val="20"/>
              </w:rPr>
              <w:t>Djibouti</w:t>
            </w:r>
          </w:p>
        </w:tc>
      </w:tr>
      <w:tr w:rsidR="00A82D34" w14:paraId="22F2DDC1" w14:textId="77777777" w:rsidTr="00A82D34">
        <w:trPr>
          <w:trHeight w:val="80"/>
          <w:jc w:val="center"/>
        </w:trPr>
        <w:tc>
          <w:tcPr>
            <w:tcW w:w="1781" w:type="dxa"/>
            <w:tcBorders>
              <w:top w:val="nil"/>
              <w:left w:val="single" w:sz="4" w:space="0" w:color="auto"/>
              <w:bottom w:val="nil"/>
              <w:right w:val="single" w:sz="4" w:space="0" w:color="auto"/>
            </w:tcBorders>
            <w:vAlign w:val="bottom"/>
            <w:hideMark/>
          </w:tcPr>
          <w:p w14:paraId="3A1EBFFE" w14:textId="562527A9" w:rsidR="00A82D34" w:rsidRPr="007831EB" w:rsidRDefault="00A82D34" w:rsidP="00A82D34">
            <w:pPr>
              <w:jc w:val="center"/>
              <w:rPr>
                <w:rFonts w:eastAsia="Times New Roman"/>
                <w:color w:val="000000"/>
                <w:sz w:val="20"/>
                <w:szCs w:val="20"/>
              </w:rPr>
            </w:pPr>
            <w:r w:rsidRPr="007831EB">
              <w:rPr>
                <w:color w:val="000000"/>
                <w:sz w:val="20"/>
                <w:szCs w:val="20"/>
              </w:rPr>
              <w:t>Brazil</w:t>
            </w:r>
          </w:p>
        </w:tc>
        <w:tc>
          <w:tcPr>
            <w:tcW w:w="1781" w:type="dxa"/>
            <w:tcBorders>
              <w:top w:val="nil"/>
              <w:left w:val="nil"/>
              <w:bottom w:val="nil"/>
              <w:right w:val="single" w:sz="4" w:space="0" w:color="auto"/>
            </w:tcBorders>
            <w:vAlign w:val="bottom"/>
            <w:hideMark/>
          </w:tcPr>
          <w:p w14:paraId="48B844A5" w14:textId="11BC5A9F" w:rsidR="00A82D34" w:rsidRPr="007831EB" w:rsidRDefault="00A82D34" w:rsidP="00A82D34">
            <w:pPr>
              <w:jc w:val="center"/>
              <w:rPr>
                <w:rFonts w:eastAsia="Times New Roman"/>
                <w:color w:val="000000"/>
                <w:sz w:val="20"/>
                <w:szCs w:val="20"/>
              </w:rPr>
            </w:pPr>
            <w:r w:rsidRPr="007831EB">
              <w:rPr>
                <w:color w:val="000000"/>
                <w:sz w:val="20"/>
                <w:szCs w:val="20"/>
              </w:rPr>
              <w:t>Finland</w:t>
            </w:r>
          </w:p>
        </w:tc>
        <w:tc>
          <w:tcPr>
            <w:tcW w:w="1781" w:type="dxa"/>
            <w:tcBorders>
              <w:top w:val="nil"/>
              <w:left w:val="nil"/>
              <w:bottom w:val="nil"/>
              <w:right w:val="single" w:sz="4" w:space="0" w:color="auto"/>
            </w:tcBorders>
            <w:vAlign w:val="bottom"/>
            <w:hideMark/>
          </w:tcPr>
          <w:p w14:paraId="602E51D2" w14:textId="39F9CFFC" w:rsidR="00A82D34" w:rsidRPr="007831EB" w:rsidRDefault="00A82D34" w:rsidP="00A82D34">
            <w:pPr>
              <w:jc w:val="center"/>
              <w:rPr>
                <w:rFonts w:eastAsia="Times New Roman"/>
                <w:color w:val="000000"/>
                <w:sz w:val="20"/>
                <w:szCs w:val="20"/>
              </w:rPr>
            </w:pPr>
            <w:r w:rsidRPr="007831EB">
              <w:rPr>
                <w:color w:val="000000"/>
                <w:sz w:val="20"/>
                <w:szCs w:val="20"/>
              </w:rPr>
              <w:t>Bangladesh</w:t>
            </w:r>
          </w:p>
        </w:tc>
        <w:tc>
          <w:tcPr>
            <w:tcW w:w="1781" w:type="dxa"/>
            <w:tcBorders>
              <w:top w:val="nil"/>
              <w:left w:val="nil"/>
              <w:bottom w:val="nil"/>
              <w:right w:val="single" w:sz="4" w:space="0" w:color="auto"/>
            </w:tcBorders>
            <w:vAlign w:val="bottom"/>
            <w:hideMark/>
          </w:tcPr>
          <w:p w14:paraId="6C05C3FF" w14:textId="706DD408" w:rsidR="00A82D34" w:rsidRPr="007831EB" w:rsidRDefault="00A82D34" w:rsidP="00A82D34">
            <w:pPr>
              <w:jc w:val="center"/>
              <w:rPr>
                <w:rFonts w:eastAsia="Times New Roman"/>
                <w:color w:val="000000"/>
                <w:sz w:val="20"/>
                <w:szCs w:val="20"/>
              </w:rPr>
            </w:pPr>
            <w:r w:rsidRPr="007831EB">
              <w:rPr>
                <w:color w:val="000000"/>
                <w:sz w:val="20"/>
                <w:szCs w:val="20"/>
              </w:rPr>
              <w:t>Burkina Faso</w:t>
            </w:r>
          </w:p>
        </w:tc>
        <w:tc>
          <w:tcPr>
            <w:tcW w:w="1781" w:type="dxa"/>
            <w:tcBorders>
              <w:top w:val="nil"/>
              <w:left w:val="nil"/>
              <w:bottom w:val="nil"/>
              <w:right w:val="single" w:sz="4" w:space="0" w:color="auto"/>
            </w:tcBorders>
            <w:vAlign w:val="bottom"/>
            <w:hideMark/>
          </w:tcPr>
          <w:p w14:paraId="343CFE41" w14:textId="61EA9F05" w:rsidR="00A82D34" w:rsidRPr="007831EB" w:rsidRDefault="00A82D34" w:rsidP="00A82D34">
            <w:pPr>
              <w:jc w:val="center"/>
              <w:rPr>
                <w:rFonts w:eastAsia="Times New Roman"/>
                <w:color w:val="000000"/>
                <w:sz w:val="20"/>
                <w:szCs w:val="20"/>
              </w:rPr>
            </w:pPr>
            <w:r w:rsidRPr="007831EB">
              <w:rPr>
                <w:color w:val="000000"/>
                <w:sz w:val="20"/>
                <w:szCs w:val="20"/>
              </w:rPr>
              <w:t>Iraq</w:t>
            </w:r>
          </w:p>
        </w:tc>
      </w:tr>
      <w:tr w:rsidR="00A82D34" w14:paraId="530FE931" w14:textId="77777777" w:rsidTr="00A82D34">
        <w:trPr>
          <w:trHeight w:val="80"/>
          <w:jc w:val="center"/>
        </w:trPr>
        <w:tc>
          <w:tcPr>
            <w:tcW w:w="1781" w:type="dxa"/>
            <w:tcBorders>
              <w:top w:val="nil"/>
              <w:left w:val="single" w:sz="4" w:space="0" w:color="auto"/>
              <w:bottom w:val="nil"/>
              <w:right w:val="single" w:sz="4" w:space="0" w:color="auto"/>
            </w:tcBorders>
            <w:vAlign w:val="bottom"/>
            <w:hideMark/>
          </w:tcPr>
          <w:p w14:paraId="5A31FC4B" w14:textId="4F112B04" w:rsidR="00A82D34" w:rsidRPr="007831EB" w:rsidRDefault="00A82D34" w:rsidP="00A82D34">
            <w:pPr>
              <w:jc w:val="center"/>
              <w:rPr>
                <w:rFonts w:eastAsia="Times New Roman"/>
                <w:color w:val="000000"/>
                <w:sz w:val="20"/>
                <w:szCs w:val="20"/>
              </w:rPr>
            </w:pPr>
            <w:r w:rsidRPr="007831EB">
              <w:rPr>
                <w:color w:val="000000"/>
                <w:sz w:val="20"/>
                <w:szCs w:val="20"/>
              </w:rPr>
              <w:t>Chile</w:t>
            </w:r>
          </w:p>
        </w:tc>
        <w:tc>
          <w:tcPr>
            <w:tcW w:w="1781" w:type="dxa"/>
            <w:tcBorders>
              <w:top w:val="nil"/>
              <w:left w:val="nil"/>
              <w:bottom w:val="nil"/>
              <w:right w:val="single" w:sz="4" w:space="0" w:color="auto"/>
            </w:tcBorders>
            <w:vAlign w:val="bottom"/>
            <w:hideMark/>
          </w:tcPr>
          <w:p w14:paraId="4AA8B884" w14:textId="04C24A73" w:rsidR="00A82D34" w:rsidRPr="007831EB" w:rsidRDefault="00A82D34" w:rsidP="00A82D34">
            <w:pPr>
              <w:jc w:val="center"/>
              <w:rPr>
                <w:rFonts w:eastAsia="Times New Roman"/>
                <w:color w:val="000000"/>
                <w:sz w:val="20"/>
                <w:szCs w:val="20"/>
              </w:rPr>
            </w:pPr>
            <w:r w:rsidRPr="007831EB">
              <w:rPr>
                <w:color w:val="000000"/>
                <w:sz w:val="20"/>
                <w:szCs w:val="20"/>
              </w:rPr>
              <w:t>Georgia</w:t>
            </w:r>
          </w:p>
        </w:tc>
        <w:tc>
          <w:tcPr>
            <w:tcW w:w="1781" w:type="dxa"/>
            <w:tcBorders>
              <w:top w:val="nil"/>
              <w:left w:val="nil"/>
              <w:bottom w:val="nil"/>
              <w:right w:val="single" w:sz="4" w:space="0" w:color="auto"/>
            </w:tcBorders>
            <w:vAlign w:val="bottom"/>
            <w:hideMark/>
          </w:tcPr>
          <w:p w14:paraId="45BB6FAD" w14:textId="622DE9DF" w:rsidR="00A82D34" w:rsidRPr="007831EB" w:rsidRDefault="00A82D34" w:rsidP="00A82D34">
            <w:pPr>
              <w:jc w:val="center"/>
              <w:rPr>
                <w:rFonts w:eastAsia="Times New Roman"/>
                <w:color w:val="000000"/>
                <w:sz w:val="20"/>
                <w:szCs w:val="20"/>
              </w:rPr>
            </w:pPr>
            <w:r w:rsidRPr="007831EB">
              <w:rPr>
                <w:color w:val="000000"/>
                <w:sz w:val="20"/>
                <w:szCs w:val="20"/>
              </w:rPr>
              <w:t>China</w:t>
            </w:r>
          </w:p>
        </w:tc>
        <w:tc>
          <w:tcPr>
            <w:tcW w:w="1781" w:type="dxa"/>
            <w:tcBorders>
              <w:top w:val="nil"/>
              <w:left w:val="nil"/>
              <w:bottom w:val="nil"/>
              <w:right w:val="single" w:sz="4" w:space="0" w:color="auto"/>
            </w:tcBorders>
            <w:vAlign w:val="bottom"/>
            <w:hideMark/>
          </w:tcPr>
          <w:p w14:paraId="42B823E1" w14:textId="131D9867" w:rsidR="00A82D34" w:rsidRPr="007831EB" w:rsidRDefault="00A82D34" w:rsidP="00A82D34">
            <w:pPr>
              <w:jc w:val="center"/>
              <w:rPr>
                <w:rFonts w:eastAsia="Times New Roman"/>
                <w:color w:val="000000"/>
                <w:sz w:val="20"/>
                <w:szCs w:val="20"/>
              </w:rPr>
            </w:pPr>
            <w:r w:rsidRPr="007831EB">
              <w:rPr>
                <w:color w:val="000000"/>
                <w:sz w:val="20"/>
                <w:szCs w:val="20"/>
              </w:rPr>
              <w:t>Eswatini</w:t>
            </w:r>
          </w:p>
        </w:tc>
        <w:tc>
          <w:tcPr>
            <w:tcW w:w="1781" w:type="dxa"/>
            <w:tcBorders>
              <w:top w:val="nil"/>
              <w:left w:val="nil"/>
              <w:bottom w:val="nil"/>
              <w:right w:val="single" w:sz="4" w:space="0" w:color="auto"/>
            </w:tcBorders>
            <w:vAlign w:val="bottom"/>
            <w:hideMark/>
          </w:tcPr>
          <w:p w14:paraId="2D453506" w14:textId="324032D6" w:rsidR="00A82D34" w:rsidRPr="007831EB" w:rsidRDefault="00A82D34" w:rsidP="00A82D34">
            <w:pPr>
              <w:jc w:val="center"/>
              <w:rPr>
                <w:rFonts w:eastAsia="Times New Roman"/>
                <w:color w:val="000000"/>
                <w:sz w:val="20"/>
                <w:szCs w:val="20"/>
              </w:rPr>
            </w:pPr>
            <w:r w:rsidRPr="007831EB">
              <w:rPr>
                <w:color w:val="000000"/>
                <w:sz w:val="20"/>
                <w:szCs w:val="20"/>
              </w:rPr>
              <w:t>Israel</w:t>
            </w:r>
          </w:p>
        </w:tc>
      </w:tr>
      <w:tr w:rsidR="00A82D34" w14:paraId="690C607C" w14:textId="77777777" w:rsidTr="00A82D34">
        <w:trPr>
          <w:trHeight w:val="80"/>
          <w:jc w:val="center"/>
        </w:trPr>
        <w:tc>
          <w:tcPr>
            <w:tcW w:w="1781" w:type="dxa"/>
            <w:tcBorders>
              <w:top w:val="nil"/>
              <w:left w:val="single" w:sz="4" w:space="0" w:color="auto"/>
              <w:bottom w:val="nil"/>
              <w:right w:val="single" w:sz="4" w:space="0" w:color="auto"/>
            </w:tcBorders>
            <w:vAlign w:val="bottom"/>
            <w:hideMark/>
          </w:tcPr>
          <w:p w14:paraId="2471D79E" w14:textId="4651C161" w:rsidR="00A82D34" w:rsidRPr="007831EB" w:rsidRDefault="00A82D34" w:rsidP="00A82D34">
            <w:pPr>
              <w:jc w:val="center"/>
              <w:rPr>
                <w:rFonts w:eastAsia="Times New Roman"/>
                <w:color w:val="000000"/>
                <w:sz w:val="20"/>
                <w:szCs w:val="20"/>
              </w:rPr>
            </w:pPr>
            <w:r w:rsidRPr="007831EB">
              <w:rPr>
                <w:color w:val="000000"/>
                <w:sz w:val="20"/>
                <w:szCs w:val="20"/>
              </w:rPr>
              <w:t>Grenada</w:t>
            </w:r>
          </w:p>
        </w:tc>
        <w:tc>
          <w:tcPr>
            <w:tcW w:w="1781" w:type="dxa"/>
            <w:tcBorders>
              <w:top w:val="nil"/>
              <w:left w:val="nil"/>
              <w:bottom w:val="nil"/>
              <w:right w:val="single" w:sz="4" w:space="0" w:color="auto"/>
            </w:tcBorders>
            <w:vAlign w:val="bottom"/>
            <w:hideMark/>
          </w:tcPr>
          <w:p w14:paraId="3E698192" w14:textId="47B30965" w:rsidR="00A82D34" w:rsidRPr="007831EB" w:rsidRDefault="00A82D34" w:rsidP="00A82D34">
            <w:pPr>
              <w:jc w:val="center"/>
              <w:rPr>
                <w:rFonts w:eastAsia="Times New Roman"/>
                <w:color w:val="000000"/>
                <w:sz w:val="20"/>
                <w:szCs w:val="20"/>
              </w:rPr>
            </w:pPr>
            <w:r w:rsidRPr="007831EB">
              <w:rPr>
                <w:color w:val="000000"/>
                <w:sz w:val="20"/>
                <w:szCs w:val="20"/>
              </w:rPr>
              <w:t>Germany</w:t>
            </w:r>
          </w:p>
        </w:tc>
        <w:tc>
          <w:tcPr>
            <w:tcW w:w="1781" w:type="dxa"/>
            <w:tcBorders>
              <w:top w:val="nil"/>
              <w:left w:val="nil"/>
              <w:bottom w:val="nil"/>
              <w:right w:val="single" w:sz="4" w:space="0" w:color="auto"/>
            </w:tcBorders>
            <w:vAlign w:val="bottom"/>
            <w:hideMark/>
          </w:tcPr>
          <w:p w14:paraId="709C8837" w14:textId="2BEB78F2" w:rsidR="00A82D34" w:rsidRPr="007831EB" w:rsidRDefault="00A82D34" w:rsidP="00A82D34">
            <w:pPr>
              <w:jc w:val="center"/>
              <w:rPr>
                <w:rFonts w:eastAsia="Times New Roman"/>
                <w:color w:val="000000"/>
                <w:sz w:val="20"/>
                <w:szCs w:val="20"/>
              </w:rPr>
            </w:pPr>
            <w:r w:rsidRPr="007831EB">
              <w:rPr>
                <w:color w:val="000000"/>
                <w:sz w:val="20"/>
                <w:szCs w:val="20"/>
              </w:rPr>
              <w:t>Indonesia</w:t>
            </w:r>
          </w:p>
        </w:tc>
        <w:tc>
          <w:tcPr>
            <w:tcW w:w="1781" w:type="dxa"/>
            <w:tcBorders>
              <w:top w:val="nil"/>
              <w:left w:val="nil"/>
              <w:bottom w:val="nil"/>
              <w:right w:val="single" w:sz="4" w:space="0" w:color="auto"/>
            </w:tcBorders>
            <w:vAlign w:val="bottom"/>
            <w:hideMark/>
          </w:tcPr>
          <w:p w14:paraId="40229F71" w14:textId="642CFD44" w:rsidR="00A82D34" w:rsidRPr="007831EB" w:rsidRDefault="00A82D34" w:rsidP="00A82D34">
            <w:pPr>
              <w:jc w:val="center"/>
              <w:rPr>
                <w:rFonts w:eastAsia="Times New Roman"/>
                <w:color w:val="000000"/>
                <w:sz w:val="20"/>
                <w:szCs w:val="20"/>
              </w:rPr>
            </w:pPr>
            <w:r w:rsidRPr="007831EB">
              <w:rPr>
                <w:color w:val="000000"/>
                <w:sz w:val="20"/>
                <w:szCs w:val="20"/>
              </w:rPr>
              <w:t>Gabon</w:t>
            </w:r>
          </w:p>
        </w:tc>
        <w:tc>
          <w:tcPr>
            <w:tcW w:w="1781" w:type="dxa"/>
            <w:tcBorders>
              <w:top w:val="nil"/>
              <w:left w:val="nil"/>
              <w:bottom w:val="nil"/>
              <w:right w:val="single" w:sz="4" w:space="0" w:color="auto"/>
            </w:tcBorders>
            <w:vAlign w:val="bottom"/>
            <w:hideMark/>
          </w:tcPr>
          <w:p w14:paraId="0B4B7677" w14:textId="4A40ADFA" w:rsidR="00A82D34" w:rsidRPr="007831EB" w:rsidRDefault="00A82D34" w:rsidP="00A82D34">
            <w:pPr>
              <w:jc w:val="center"/>
              <w:rPr>
                <w:rFonts w:eastAsia="Times New Roman"/>
                <w:color w:val="000000"/>
                <w:sz w:val="20"/>
                <w:szCs w:val="20"/>
              </w:rPr>
            </w:pPr>
            <w:r w:rsidRPr="007831EB">
              <w:rPr>
                <w:color w:val="000000"/>
                <w:sz w:val="20"/>
                <w:szCs w:val="20"/>
              </w:rPr>
              <w:t>Sudan</w:t>
            </w:r>
          </w:p>
        </w:tc>
      </w:tr>
      <w:tr w:rsidR="00A82D34" w14:paraId="31CAD31A" w14:textId="77777777" w:rsidTr="00A82D34">
        <w:trPr>
          <w:trHeight w:val="80"/>
          <w:jc w:val="center"/>
        </w:trPr>
        <w:tc>
          <w:tcPr>
            <w:tcW w:w="1781" w:type="dxa"/>
            <w:tcBorders>
              <w:top w:val="nil"/>
              <w:left w:val="single" w:sz="4" w:space="0" w:color="auto"/>
              <w:bottom w:val="nil"/>
              <w:right w:val="single" w:sz="4" w:space="0" w:color="auto"/>
            </w:tcBorders>
            <w:vAlign w:val="bottom"/>
            <w:hideMark/>
          </w:tcPr>
          <w:p w14:paraId="1ADE6A2A" w14:textId="17E633F9" w:rsidR="00A82D34" w:rsidRPr="007831EB" w:rsidRDefault="00A82D34" w:rsidP="00A82D34">
            <w:pPr>
              <w:jc w:val="center"/>
              <w:rPr>
                <w:rFonts w:eastAsia="Times New Roman"/>
                <w:color w:val="000000"/>
                <w:sz w:val="20"/>
                <w:szCs w:val="20"/>
              </w:rPr>
            </w:pPr>
            <w:r w:rsidRPr="007831EB">
              <w:rPr>
                <w:color w:val="000000"/>
                <w:sz w:val="20"/>
                <w:szCs w:val="20"/>
              </w:rPr>
              <w:t>Guyana</w:t>
            </w:r>
          </w:p>
        </w:tc>
        <w:tc>
          <w:tcPr>
            <w:tcW w:w="1781" w:type="dxa"/>
            <w:tcBorders>
              <w:top w:val="nil"/>
              <w:left w:val="nil"/>
              <w:bottom w:val="nil"/>
              <w:right w:val="single" w:sz="4" w:space="0" w:color="auto"/>
            </w:tcBorders>
            <w:vAlign w:val="bottom"/>
            <w:hideMark/>
          </w:tcPr>
          <w:p w14:paraId="619B7D0F" w14:textId="4A541257" w:rsidR="00A82D34" w:rsidRPr="007831EB" w:rsidRDefault="00A82D34" w:rsidP="00A82D34">
            <w:pPr>
              <w:jc w:val="center"/>
              <w:rPr>
                <w:rFonts w:eastAsia="Times New Roman"/>
                <w:color w:val="000000"/>
                <w:sz w:val="20"/>
                <w:szCs w:val="20"/>
              </w:rPr>
            </w:pPr>
            <w:r w:rsidRPr="007831EB">
              <w:rPr>
                <w:color w:val="000000"/>
                <w:sz w:val="20"/>
                <w:szCs w:val="20"/>
              </w:rPr>
              <w:t>Italy</w:t>
            </w:r>
          </w:p>
        </w:tc>
        <w:tc>
          <w:tcPr>
            <w:tcW w:w="1781" w:type="dxa"/>
            <w:tcBorders>
              <w:top w:val="nil"/>
              <w:left w:val="nil"/>
              <w:bottom w:val="nil"/>
              <w:right w:val="single" w:sz="4" w:space="0" w:color="auto"/>
            </w:tcBorders>
            <w:vAlign w:val="bottom"/>
            <w:hideMark/>
          </w:tcPr>
          <w:p w14:paraId="2519A44F" w14:textId="1F58BADA" w:rsidR="00A82D34" w:rsidRPr="007831EB" w:rsidRDefault="00A82D34" w:rsidP="00A82D34">
            <w:pPr>
              <w:jc w:val="center"/>
              <w:rPr>
                <w:rFonts w:eastAsia="Times New Roman"/>
                <w:color w:val="000000"/>
                <w:sz w:val="20"/>
                <w:szCs w:val="20"/>
              </w:rPr>
            </w:pPr>
            <w:r w:rsidRPr="007831EB">
              <w:rPr>
                <w:color w:val="000000"/>
                <w:sz w:val="20"/>
                <w:szCs w:val="20"/>
              </w:rPr>
              <w:t>Japan</w:t>
            </w:r>
          </w:p>
        </w:tc>
        <w:tc>
          <w:tcPr>
            <w:tcW w:w="1781" w:type="dxa"/>
            <w:tcBorders>
              <w:top w:val="nil"/>
              <w:left w:val="nil"/>
              <w:bottom w:val="nil"/>
              <w:right w:val="single" w:sz="4" w:space="0" w:color="auto"/>
            </w:tcBorders>
            <w:vAlign w:val="bottom"/>
            <w:hideMark/>
          </w:tcPr>
          <w:p w14:paraId="63C127D7" w14:textId="04AF6CC5" w:rsidR="00A82D34" w:rsidRPr="007831EB" w:rsidRDefault="00A82D34" w:rsidP="00A82D34">
            <w:pPr>
              <w:jc w:val="center"/>
              <w:rPr>
                <w:rFonts w:eastAsia="Times New Roman"/>
                <w:color w:val="000000"/>
                <w:sz w:val="20"/>
                <w:szCs w:val="20"/>
              </w:rPr>
            </w:pPr>
            <w:r w:rsidRPr="007831EB">
              <w:rPr>
                <w:color w:val="000000"/>
                <w:sz w:val="20"/>
                <w:szCs w:val="20"/>
              </w:rPr>
              <w:t>Kenya</w:t>
            </w:r>
          </w:p>
        </w:tc>
        <w:tc>
          <w:tcPr>
            <w:tcW w:w="1781" w:type="dxa"/>
            <w:tcBorders>
              <w:top w:val="nil"/>
              <w:left w:val="nil"/>
              <w:bottom w:val="nil"/>
              <w:right w:val="single" w:sz="4" w:space="0" w:color="auto"/>
            </w:tcBorders>
            <w:vAlign w:val="bottom"/>
            <w:hideMark/>
          </w:tcPr>
          <w:p w14:paraId="04224557" w14:textId="15DC1267" w:rsidR="00A82D34" w:rsidRPr="007831EB" w:rsidRDefault="00A82D34" w:rsidP="00A82D34">
            <w:pPr>
              <w:jc w:val="center"/>
              <w:rPr>
                <w:rFonts w:eastAsia="Times New Roman"/>
                <w:b/>
                <w:bCs/>
                <w:color w:val="000000"/>
                <w:sz w:val="20"/>
                <w:szCs w:val="20"/>
              </w:rPr>
            </w:pPr>
            <w:r w:rsidRPr="007831EB">
              <w:rPr>
                <w:color w:val="000000"/>
                <w:sz w:val="20"/>
                <w:szCs w:val="20"/>
              </w:rPr>
              <w:t>Tunisia</w:t>
            </w:r>
          </w:p>
        </w:tc>
      </w:tr>
      <w:tr w:rsidR="00A82D34" w14:paraId="536F4263" w14:textId="77777777" w:rsidTr="00A82D34">
        <w:trPr>
          <w:trHeight w:val="80"/>
          <w:jc w:val="center"/>
        </w:trPr>
        <w:tc>
          <w:tcPr>
            <w:tcW w:w="1781" w:type="dxa"/>
            <w:tcBorders>
              <w:top w:val="nil"/>
              <w:left w:val="single" w:sz="4" w:space="0" w:color="auto"/>
              <w:bottom w:val="nil"/>
              <w:right w:val="single" w:sz="4" w:space="0" w:color="auto"/>
            </w:tcBorders>
            <w:vAlign w:val="bottom"/>
            <w:hideMark/>
          </w:tcPr>
          <w:p w14:paraId="4D1164A3" w14:textId="2CC58969" w:rsidR="00A82D34" w:rsidRPr="007831EB" w:rsidRDefault="00A82D34" w:rsidP="00A82D34">
            <w:pPr>
              <w:jc w:val="center"/>
              <w:rPr>
                <w:rFonts w:eastAsia="Times New Roman"/>
                <w:color w:val="000000"/>
                <w:sz w:val="20"/>
                <w:szCs w:val="20"/>
              </w:rPr>
            </w:pPr>
            <w:r w:rsidRPr="007831EB">
              <w:rPr>
                <w:color w:val="000000"/>
                <w:sz w:val="20"/>
                <w:szCs w:val="20"/>
              </w:rPr>
              <w:t>United States</w:t>
            </w:r>
          </w:p>
        </w:tc>
        <w:tc>
          <w:tcPr>
            <w:tcW w:w="1781" w:type="dxa"/>
            <w:tcBorders>
              <w:top w:val="nil"/>
              <w:left w:val="nil"/>
              <w:bottom w:val="nil"/>
              <w:right w:val="single" w:sz="4" w:space="0" w:color="auto"/>
            </w:tcBorders>
            <w:vAlign w:val="bottom"/>
            <w:hideMark/>
          </w:tcPr>
          <w:p w14:paraId="2F4E930A" w14:textId="2713399F" w:rsidR="00A82D34" w:rsidRPr="007831EB" w:rsidRDefault="00A82D34" w:rsidP="00A82D34">
            <w:pPr>
              <w:jc w:val="center"/>
              <w:rPr>
                <w:rFonts w:eastAsia="Times New Roman"/>
                <w:color w:val="000000"/>
                <w:sz w:val="20"/>
                <w:szCs w:val="20"/>
              </w:rPr>
            </w:pPr>
            <w:r w:rsidRPr="007831EB">
              <w:rPr>
                <w:color w:val="000000"/>
                <w:sz w:val="20"/>
                <w:szCs w:val="20"/>
              </w:rPr>
              <w:t>Romania</w:t>
            </w:r>
          </w:p>
        </w:tc>
        <w:tc>
          <w:tcPr>
            <w:tcW w:w="1781" w:type="dxa"/>
            <w:tcBorders>
              <w:top w:val="nil"/>
              <w:left w:val="nil"/>
              <w:bottom w:val="nil"/>
              <w:right w:val="single" w:sz="4" w:space="0" w:color="auto"/>
            </w:tcBorders>
            <w:vAlign w:val="bottom"/>
            <w:hideMark/>
          </w:tcPr>
          <w:p w14:paraId="746BA798" w14:textId="1C49945F" w:rsidR="00A82D34" w:rsidRPr="007831EB" w:rsidRDefault="00A82D34" w:rsidP="00A82D34">
            <w:pPr>
              <w:jc w:val="center"/>
              <w:rPr>
                <w:rFonts w:eastAsia="Times New Roman"/>
                <w:color w:val="000000"/>
                <w:sz w:val="20"/>
                <w:szCs w:val="20"/>
              </w:rPr>
            </w:pPr>
            <w:r w:rsidRPr="007831EB">
              <w:rPr>
                <w:color w:val="000000"/>
                <w:sz w:val="20"/>
                <w:szCs w:val="20"/>
              </w:rPr>
              <w:t>Singapore</w:t>
            </w:r>
          </w:p>
        </w:tc>
        <w:tc>
          <w:tcPr>
            <w:tcW w:w="1781" w:type="dxa"/>
            <w:tcBorders>
              <w:top w:val="nil"/>
              <w:left w:val="nil"/>
              <w:bottom w:val="nil"/>
              <w:right w:val="single" w:sz="4" w:space="0" w:color="auto"/>
            </w:tcBorders>
            <w:vAlign w:val="bottom"/>
            <w:hideMark/>
          </w:tcPr>
          <w:p w14:paraId="61095E90" w14:textId="7F679A4A" w:rsidR="00A82D34" w:rsidRPr="007831EB" w:rsidRDefault="00A82D34" w:rsidP="00A82D34">
            <w:pPr>
              <w:jc w:val="center"/>
              <w:rPr>
                <w:rFonts w:eastAsia="Times New Roman"/>
                <w:color w:val="000000"/>
                <w:sz w:val="20"/>
                <w:szCs w:val="20"/>
              </w:rPr>
            </w:pPr>
            <w:r w:rsidRPr="007831EB">
              <w:rPr>
                <w:color w:val="000000"/>
                <w:sz w:val="20"/>
                <w:szCs w:val="20"/>
              </w:rPr>
              <w:t>Tanzania</w:t>
            </w:r>
          </w:p>
        </w:tc>
        <w:tc>
          <w:tcPr>
            <w:tcW w:w="1781" w:type="dxa"/>
            <w:tcBorders>
              <w:top w:val="nil"/>
              <w:left w:val="nil"/>
              <w:bottom w:val="nil"/>
              <w:right w:val="single" w:sz="4" w:space="0" w:color="auto"/>
            </w:tcBorders>
            <w:vAlign w:val="bottom"/>
            <w:hideMark/>
          </w:tcPr>
          <w:p w14:paraId="3F7DAD54" w14:textId="346D6902" w:rsidR="00A82D34" w:rsidRPr="007831EB" w:rsidRDefault="00A82D34" w:rsidP="00A82D34">
            <w:pPr>
              <w:jc w:val="center"/>
              <w:rPr>
                <w:rFonts w:eastAsia="Times New Roman"/>
                <w:color w:val="000000"/>
                <w:sz w:val="20"/>
                <w:szCs w:val="20"/>
              </w:rPr>
            </w:pPr>
            <w:r w:rsidRPr="007831EB">
              <w:rPr>
                <w:color w:val="000000"/>
                <w:sz w:val="20"/>
                <w:szCs w:val="20"/>
              </w:rPr>
              <w:t>UAE</w:t>
            </w:r>
          </w:p>
        </w:tc>
      </w:tr>
      <w:tr w:rsidR="00A82D34" w14:paraId="15519D9B" w14:textId="77777777" w:rsidTr="00A82D34">
        <w:trPr>
          <w:trHeight w:val="80"/>
          <w:jc w:val="center"/>
        </w:trPr>
        <w:tc>
          <w:tcPr>
            <w:tcW w:w="1781" w:type="dxa"/>
            <w:tcBorders>
              <w:top w:val="nil"/>
              <w:left w:val="single" w:sz="4" w:space="0" w:color="auto"/>
              <w:bottom w:val="nil"/>
              <w:right w:val="single" w:sz="4" w:space="0" w:color="auto"/>
            </w:tcBorders>
            <w:vAlign w:val="center"/>
            <w:hideMark/>
          </w:tcPr>
          <w:p w14:paraId="6E52A5C1" w14:textId="77777777" w:rsidR="00A82D34" w:rsidRPr="007831EB" w:rsidRDefault="00A82D34" w:rsidP="00A82D34">
            <w:pPr>
              <w:jc w:val="center"/>
              <w:rPr>
                <w:rFonts w:eastAsia="Times New Roman"/>
                <w:b/>
                <w:bCs/>
                <w:color w:val="000000"/>
                <w:sz w:val="20"/>
                <w:szCs w:val="20"/>
              </w:rPr>
            </w:pPr>
            <w:r w:rsidRPr="007831EB">
              <w:rPr>
                <w:rFonts w:eastAsiaTheme="minorHAnsi"/>
                <w:b/>
                <w:bCs/>
                <w:color w:val="000000"/>
                <w:sz w:val="20"/>
                <w:szCs w:val="20"/>
              </w:rPr>
              <w:t> </w:t>
            </w:r>
          </w:p>
        </w:tc>
        <w:tc>
          <w:tcPr>
            <w:tcW w:w="1781" w:type="dxa"/>
            <w:tcBorders>
              <w:top w:val="nil"/>
              <w:left w:val="nil"/>
              <w:bottom w:val="nil"/>
              <w:right w:val="single" w:sz="4" w:space="0" w:color="auto"/>
            </w:tcBorders>
            <w:vAlign w:val="center"/>
            <w:hideMark/>
          </w:tcPr>
          <w:p w14:paraId="73ADDC7D" w14:textId="5BFB6E11" w:rsidR="00A82D34" w:rsidRPr="007831EB" w:rsidRDefault="00A82D34" w:rsidP="00A82D34">
            <w:pPr>
              <w:jc w:val="center"/>
              <w:rPr>
                <w:rFonts w:eastAsia="Times New Roman"/>
                <w:color w:val="000000"/>
                <w:sz w:val="20"/>
                <w:szCs w:val="20"/>
              </w:rPr>
            </w:pPr>
          </w:p>
        </w:tc>
        <w:tc>
          <w:tcPr>
            <w:tcW w:w="1781" w:type="dxa"/>
            <w:tcBorders>
              <w:top w:val="nil"/>
              <w:left w:val="nil"/>
              <w:bottom w:val="nil"/>
              <w:right w:val="single" w:sz="4" w:space="0" w:color="auto"/>
            </w:tcBorders>
            <w:vAlign w:val="bottom"/>
            <w:hideMark/>
          </w:tcPr>
          <w:p w14:paraId="6FF09F85" w14:textId="6AAC3DFB" w:rsidR="00A82D34" w:rsidRPr="007831EB" w:rsidRDefault="00A82D34" w:rsidP="00A82D34">
            <w:pPr>
              <w:jc w:val="center"/>
              <w:rPr>
                <w:rFonts w:eastAsia="Times New Roman"/>
                <w:color w:val="000000"/>
                <w:sz w:val="20"/>
                <w:szCs w:val="20"/>
              </w:rPr>
            </w:pPr>
            <w:r w:rsidRPr="007831EB">
              <w:rPr>
                <w:color w:val="000000"/>
                <w:sz w:val="20"/>
                <w:szCs w:val="20"/>
              </w:rPr>
              <w:t>Sri Lanka</w:t>
            </w:r>
          </w:p>
        </w:tc>
        <w:tc>
          <w:tcPr>
            <w:tcW w:w="1781" w:type="dxa"/>
            <w:tcBorders>
              <w:top w:val="nil"/>
              <w:left w:val="nil"/>
              <w:bottom w:val="nil"/>
              <w:right w:val="single" w:sz="4" w:space="0" w:color="auto"/>
            </w:tcBorders>
            <w:vAlign w:val="bottom"/>
            <w:hideMark/>
          </w:tcPr>
          <w:p w14:paraId="7D2491BF" w14:textId="70CBA82B" w:rsidR="00A82D34" w:rsidRPr="007831EB" w:rsidRDefault="00A82D34" w:rsidP="00A82D34">
            <w:pPr>
              <w:jc w:val="center"/>
              <w:rPr>
                <w:rFonts w:eastAsia="Times New Roman"/>
                <w:color w:val="000000"/>
                <w:sz w:val="20"/>
                <w:szCs w:val="20"/>
              </w:rPr>
            </w:pPr>
            <w:r w:rsidRPr="007831EB">
              <w:rPr>
                <w:color w:val="000000"/>
                <w:sz w:val="20"/>
                <w:szCs w:val="20"/>
              </w:rPr>
              <w:t>Zambia</w:t>
            </w:r>
          </w:p>
        </w:tc>
        <w:tc>
          <w:tcPr>
            <w:tcW w:w="1781" w:type="dxa"/>
            <w:tcBorders>
              <w:top w:val="nil"/>
              <w:left w:val="nil"/>
              <w:bottom w:val="nil"/>
              <w:right w:val="single" w:sz="4" w:space="0" w:color="auto"/>
            </w:tcBorders>
            <w:vAlign w:val="bottom"/>
          </w:tcPr>
          <w:p w14:paraId="7EF843E5" w14:textId="47436C47" w:rsidR="00A82D34" w:rsidRPr="007831EB" w:rsidRDefault="00A82D34" w:rsidP="00A82D34">
            <w:pPr>
              <w:jc w:val="center"/>
              <w:rPr>
                <w:rFonts w:eastAsia="Times New Roman"/>
                <w:color w:val="000000"/>
                <w:sz w:val="20"/>
                <w:szCs w:val="20"/>
              </w:rPr>
            </w:pPr>
          </w:p>
        </w:tc>
      </w:tr>
      <w:tr w:rsidR="00A82D34" w14:paraId="13B0C113" w14:textId="77777777" w:rsidTr="00A82D34">
        <w:trPr>
          <w:trHeight w:val="80"/>
          <w:jc w:val="center"/>
        </w:trPr>
        <w:tc>
          <w:tcPr>
            <w:tcW w:w="1781" w:type="dxa"/>
            <w:tcBorders>
              <w:top w:val="nil"/>
              <w:left w:val="single" w:sz="4" w:space="0" w:color="auto"/>
              <w:bottom w:val="nil"/>
              <w:right w:val="single" w:sz="4" w:space="0" w:color="auto"/>
            </w:tcBorders>
            <w:hideMark/>
          </w:tcPr>
          <w:p w14:paraId="77180F0F" w14:textId="77777777" w:rsidR="00A82D34" w:rsidRPr="007831EB" w:rsidRDefault="00A82D34" w:rsidP="00A82D34">
            <w:pPr>
              <w:jc w:val="center"/>
              <w:rPr>
                <w:rFonts w:eastAsia="Times New Roman"/>
                <w:color w:val="000000"/>
                <w:sz w:val="20"/>
                <w:szCs w:val="20"/>
              </w:rPr>
            </w:pPr>
            <w:r w:rsidRPr="007831EB">
              <w:rPr>
                <w:rFonts w:eastAsia="Times New Roman"/>
                <w:color w:val="000000"/>
                <w:sz w:val="20"/>
                <w:szCs w:val="20"/>
              </w:rPr>
              <w:t> </w:t>
            </w:r>
          </w:p>
        </w:tc>
        <w:tc>
          <w:tcPr>
            <w:tcW w:w="1781" w:type="dxa"/>
            <w:tcBorders>
              <w:top w:val="nil"/>
              <w:left w:val="nil"/>
              <w:bottom w:val="nil"/>
              <w:right w:val="single" w:sz="4" w:space="0" w:color="auto"/>
            </w:tcBorders>
            <w:vAlign w:val="center"/>
            <w:hideMark/>
          </w:tcPr>
          <w:p w14:paraId="7106A4CA" w14:textId="77777777" w:rsidR="00A82D34" w:rsidRPr="007831EB" w:rsidRDefault="00A82D34" w:rsidP="00A82D34">
            <w:pPr>
              <w:jc w:val="center"/>
              <w:rPr>
                <w:rFonts w:eastAsia="Times New Roman"/>
                <w:b/>
                <w:bCs/>
                <w:color w:val="000000"/>
                <w:sz w:val="20"/>
                <w:szCs w:val="20"/>
              </w:rPr>
            </w:pPr>
            <w:r w:rsidRPr="007831EB">
              <w:rPr>
                <w:rFonts w:eastAsiaTheme="minorHAnsi"/>
                <w:b/>
                <w:bCs/>
                <w:color w:val="000000"/>
                <w:sz w:val="20"/>
                <w:szCs w:val="20"/>
              </w:rPr>
              <w:t> </w:t>
            </w:r>
          </w:p>
        </w:tc>
        <w:tc>
          <w:tcPr>
            <w:tcW w:w="1781" w:type="dxa"/>
            <w:tcBorders>
              <w:top w:val="nil"/>
              <w:left w:val="nil"/>
              <w:bottom w:val="nil"/>
              <w:right w:val="single" w:sz="4" w:space="0" w:color="auto"/>
            </w:tcBorders>
            <w:vAlign w:val="bottom"/>
            <w:hideMark/>
          </w:tcPr>
          <w:p w14:paraId="26ECBA6B" w14:textId="6AB310EC" w:rsidR="00A82D34" w:rsidRPr="007831EB" w:rsidRDefault="00A82D34" w:rsidP="00A82D34">
            <w:pPr>
              <w:jc w:val="center"/>
              <w:rPr>
                <w:rFonts w:eastAsia="Times New Roman"/>
                <w:color w:val="000000"/>
                <w:sz w:val="20"/>
                <w:szCs w:val="20"/>
              </w:rPr>
            </w:pPr>
            <w:r w:rsidRPr="007831EB">
              <w:rPr>
                <w:color w:val="000000"/>
                <w:sz w:val="20"/>
                <w:szCs w:val="20"/>
              </w:rPr>
              <w:t>Tajikistan</w:t>
            </w:r>
          </w:p>
        </w:tc>
        <w:tc>
          <w:tcPr>
            <w:tcW w:w="1781" w:type="dxa"/>
            <w:tcBorders>
              <w:top w:val="nil"/>
              <w:left w:val="nil"/>
              <w:bottom w:val="nil"/>
              <w:right w:val="single" w:sz="4" w:space="0" w:color="auto"/>
            </w:tcBorders>
            <w:vAlign w:val="bottom"/>
          </w:tcPr>
          <w:p w14:paraId="62B85709" w14:textId="57BA6A40" w:rsidR="00A82D34" w:rsidRPr="007831EB" w:rsidRDefault="00A82D34" w:rsidP="00A82D34">
            <w:pPr>
              <w:jc w:val="center"/>
              <w:rPr>
                <w:rFonts w:eastAsia="Times New Roman"/>
                <w:color w:val="000000"/>
                <w:sz w:val="20"/>
                <w:szCs w:val="20"/>
              </w:rPr>
            </w:pPr>
          </w:p>
        </w:tc>
        <w:tc>
          <w:tcPr>
            <w:tcW w:w="1781" w:type="dxa"/>
            <w:tcBorders>
              <w:top w:val="nil"/>
              <w:left w:val="nil"/>
              <w:bottom w:val="nil"/>
              <w:right w:val="single" w:sz="4" w:space="0" w:color="auto"/>
            </w:tcBorders>
            <w:vAlign w:val="bottom"/>
          </w:tcPr>
          <w:p w14:paraId="54EFEF00" w14:textId="009DB4D7" w:rsidR="00A82D34" w:rsidRPr="007831EB" w:rsidRDefault="00A82D34" w:rsidP="00A82D34">
            <w:pPr>
              <w:jc w:val="center"/>
              <w:rPr>
                <w:rFonts w:eastAsia="Times New Roman"/>
                <w:color w:val="000000"/>
                <w:sz w:val="20"/>
                <w:szCs w:val="20"/>
              </w:rPr>
            </w:pPr>
          </w:p>
        </w:tc>
      </w:tr>
      <w:tr w:rsidR="00A82D34" w14:paraId="1764933A" w14:textId="77777777" w:rsidTr="00A82D34">
        <w:trPr>
          <w:trHeight w:val="80"/>
          <w:jc w:val="center"/>
        </w:trPr>
        <w:tc>
          <w:tcPr>
            <w:tcW w:w="1781" w:type="dxa"/>
            <w:tcBorders>
              <w:top w:val="nil"/>
              <w:left w:val="single" w:sz="4" w:space="0" w:color="auto"/>
              <w:bottom w:val="single" w:sz="4" w:space="0" w:color="auto"/>
              <w:right w:val="single" w:sz="4" w:space="0" w:color="auto"/>
            </w:tcBorders>
            <w:hideMark/>
          </w:tcPr>
          <w:p w14:paraId="7EEBA2DB" w14:textId="77777777" w:rsidR="00A82D34" w:rsidRPr="007831EB" w:rsidRDefault="00A82D34" w:rsidP="00A82D34">
            <w:pPr>
              <w:jc w:val="center"/>
              <w:rPr>
                <w:rFonts w:eastAsia="Times New Roman"/>
                <w:color w:val="000000"/>
                <w:sz w:val="20"/>
                <w:szCs w:val="20"/>
              </w:rPr>
            </w:pPr>
            <w:r w:rsidRPr="007831EB">
              <w:rPr>
                <w:rFonts w:eastAsia="Times New Roman"/>
                <w:color w:val="000000"/>
                <w:sz w:val="20"/>
                <w:szCs w:val="20"/>
              </w:rPr>
              <w:t> </w:t>
            </w:r>
          </w:p>
        </w:tc>
        <w:tc>
          <w:tcPr>
            <w:tcW w:w="1781" w:type="dxa"/>
            <w:tcBorders>
              <w:top w:val="nil"/>
              <w:left w:val="nil"/>
              <w:bottom w:val="single" w:sz="4" w:space="0" w:color="auto"/>
              <w:right w:val="single" w:sz="4" w:space="0" w:color="auto"/>
            </w:tcBorders>
            <w:hideMark/>
          </w:tcPr>
          <w:p w14:paraId="30D3AB2A" w14:textId="77777777" w:rsidR="00A82D34" w:rsidRPr="007831EB" w:rsidRDefault="00A82D34" w:rsidP="00A82D34">
            <w:pPr>
              <w:jc w:val="center"/>
              <w:rPr>
                <w:rFonts w:eastAsia="Times New Roman"/>
                <w:color w:val="000000"/>
                <w:sz w:val="20"/>
                <w:szCs w:val="20"/>
              </w:rPr>
            </w:pPr>
            <w:r w:rsidRPr="007831EB">
              <w:rPr>
                <w:rFonts w:eastAsia="Times New Roman"/>
                <w:color w:val="000000"/>
                <w:sz w:val="20"/>
                <w:szCs w:val="20"/>
              </w:rPr>
              <w:t> </w:t>
            </w:r>
          </w:p>
        </w:tc>
        <w:tc>
          <w:tcPr>
            <w:tcW w:w="1781" w:type="dxa"/>
            <w:tcBorders>
              <w:top w:val="nil"/>
              <w:left w:val="nil"/>
              <w:bottom w:val="single" w:sz="4" w:space="0" w:color="auto"/>
              <w:right w:val="single" w:sz="4" w:space="0" w:color="auto"/>
            </w:tcBorders>
            <w:vAlign w:val="bottom"/>
            <w:hideMark/>
          </w:tcPr>
          <w:p w14:paraId="435A2A9F" w14:textId="10FE38A0" w:rsidR="00A82D34" w:rsidRPr="007831EB" w:rsidRDefault="00A82D34" w:rsidP="00A82D34">
            <w:pPr>
              <w:jc w:val="center"/>
              <w:rPr>
                <w:rFonts w:eastAsia="Times New Roman"/>
                <w:color w:val="000000"/>
                <w:sz w:val="20"/>
                <w:szCs w:val="20"/>
              </w:rPr>
            </w:pPr>
            <w:r w:rsidRPr="007831EB">
              <w:rPr>
                <w:color w:val="000000"/>
                <w:sz w:val="20"/>
                <w:szCs w:val="20"/>
              </w:rPr>
              <w:t>Tonga</w:t>
            </w:r>
          </w:p>
        </w:tc>
        <w:tc>
          <w:tcPr>
            <w:tcW w:w="1781" w:type="dxa"/>
            <w:tcBorders>
              <w:top w:val="nil"/>
              <w:left w:val="nil"/>
              <w:bottom w:val="single" w:sz="4" w:space="0" w:color="auto"/>
              <w:right w:val="single" w:sz="4" w:space="0" w:color="auto"/>
            </w:tcBorders>
            <w:vAlign w:val="bottom"/>
          </w:tcPr>
          <w:p w14:paraId="7521F0B9" w14:textId="258AFE8E" w:rsidR="00A82D34" w:rsidRPr="007831EB" w:rsidRDefault="00A82D34" w:rsidP="00A82D34">
            <w:pPr>
              <w:jc w:val="center"/>
              <w:rPr>
                <w:rFonts w:eastAsia="Times New Roman"/>
                <w:color w:val="000000"/>
                <w:sz w:val="20"/>
                <w:szCs w:val="20"/>
              </w:rPr>
            </w:pPr>
          </w:p>
        </w:tc>
        <w:tc>
          <w:tcPr>
            <w:tcW w:w="1781" w:type="dxa"/>
            <w:tcBorders>
              <w:top w:val="nil"/>
              <w:left w:val="nil"/>
              <w:bottom w:val="single" w:sz="4" w:space="0" w:color="auto"/>
              <w:right w:val="single" w:sz="4" w:space="0" w:color="auto"/>
            </w:tcBorders>
            <w:vAlign w:val="bottom"/>
          </w:tcPr>
          <w:p w14:paraId="321CD6AE" w14:textId="3D2F55CD" w:rsidR="00A82D34" w:rsidRPr="007831EB" w:rsidRDefault="00A82D34" w:rsidP="00A82D34">
            <w:pPr>
              <w:jc w:val="center"/>
              <w:rPr>
                <w:rFonts w:eastAsia="Times New Roman"/>
                <w:color w:val="000000"/>
                <w:sz w:val="20"/>
                <w:szCs w:val="20"/>
              </w:rPr>
            </w:pPr>
          </w:p>
        </w:tc>
      </w:tr>
    </w:tbl>
    <w:p w14:paraId="0870CC86" w14:textId="77777777" w:rsidR="00042B69" w:rsidRDefault="00042B69" w:rsidP="00042B69">
      <w:pPr>
        <w:rPr>
          <w:sz w:val="22"/>
        </w:rPr>
      </w:pPr>
    </w:p>
    <w:p w14:paraId="3451B891" w14:textId="776DD6F1" w:rsidR="00A82D34" w:rsidRDefault="00A82D34" w:rsidP="00A82D34">
      <w:pPr>
        <w:rPr>
          <w:sz w:val="22"/>
        </w:rPr>
      </w:pPr>
      <w:r>
        <w:rPr>
          <w:sz w:val="22"/>
        </w:rPr>
        <w:t>Many other countries and stakeholders also send representatives to the EB that can speak on the floor and engage with EB members – thus still playing a role.</w:t>
      </w:r>
    </w:p>
    <w:p w14:paraId="291561B2" w14:textId="2B2816C8" w:rsidR="00A82D34" w:rsidRDefault="00A82D34">
      <w:pPr>
        <w:rPr>
          <w:b/>
          <w:sz w:val="22"/>
          <w:u w:val="single"/>
        </w:rPr>
      </w:pPr>
    </w:p>
    <w:p w14:paraId="3BFECF86" w14:textId="77777777" w:rsidR="00B116E2" w:rsidRDefault="00B116E2">
      <w:pPr>
        <w:rPr>
          <w:b/>
          <w:sz w:val="22"/>
          <w:u w:val="single"/>
        </w:rPr>
      </w:pPr>
    </w:p>
    <w:p w14:paraId="35CFCA95" w14:textId="5038B943" w:rsidR="00BD24ED" w:rsidRPr="00B116E2" w:rsidRDefault="00B116E2">
      <w:pPr>
        <w:rPr>
          <w:b/>
          <w:szCs w:val="24"/>
        </w:rPr>
      </w:pPr>
      <w:r w:rsidRPr="00B116E2">
        <w:rPr>
          <w:b/>
          <w:szCs w:val="24"/>
        </w:rPr>
        <w:t>TOP ISSUES/TALKING POINTS AT 2020 WHO/EB</w:t>
      </w:r>
    </w:p>
    <w:p w14:paraId="0F75A6B7" w14:textId="2F8971C7" w:rsidR="007F1334" w:rsidRPr="00201BA7" w:rsidRDefault="007F1334">
      <w:pPr>
        <w:rPr>
          <w:sz w:val="22"/>
        </w:rPr>
      </w:pPr>
    </w:p>
    <w:p w14:paraId="46DEBB14" w14:textId="32D1E23D" w:rsidR="007F1334" w:rsidRPr="008352FF" w:rsidRDefault="007F1334" w:rsidP="007F1334">
      <w:pPr>
        <w:rPr>
          <w:b/>
          <w:sz w:val="22"/>
        </w:rPr>
      </w:pPr>
      <w:r w:rsidRPr="008352FF">
        <w:rPr>
          <w:b/>
          <w:sz w:val="22"/>
        </w:rPr>
        <w:t>Innovation</w:t>
      </w:r>
      <w:r w:rsidR="008352FF" w:rsidRPr="008352FF">
        <w:rPr>
          <w:b/>
          <w:sz w:val="22"/>
        </w:rPr>
        <w:t xml:space="preserve"> and Health</w:t>
      </w:r>
    </w:p>
    <w:p w14:paraId="15E22EB3" w14:textId="7AD3A4D6" w:rsidR="008352FF" w:rsidRPr="008352FF" w:rsidRDefault="008352FF" w:rsidP="008352FF">
      <w:pPr>
        <w:rPr>
          <w:i/>
          <w:sz w:val="22"/>
          <w:u w:val="single"/>
        </w:rPr>
      </w:pPr>
      <w:r w:rsidRPr="008352FF">
        <w:rPr>
          <w:i/>
          <w:sz w:val="22"/>
          <w:u w:val="single"/>
        </w:rPr>
        <w:t xml:space="preserve">Agenda items: 14. </w:t>
      </w:r>
      <w:r w:rsidRPr="008352FF">
        <w:rPr>
          <w:rFonts w:eastAsia="Times New Roman"/>
          <w:i/>
          <w:color w:val="000000"/>
          <w:sz w:val="22"/>
          <w:u w:val="single"/>
        </w:rPr>
        <w:t>Global strategy and plan of action on public health, innovation and intellectual property (</w:t>
      </w:r>
      <w:hyperlink r:id="rId10" w:history="1">
        <w:r w:rsidRPr="008352FF">
          <w:rPr>
            <w:rStyle w:val="Hyperlink"/>
            <w:rFonts w:eastAsia="Times New Roman"/>
            <w:i/>
            <w:sz w:val="22"/>
          </w:rPr>
          <w:t>EB146/15</w:t>
        </w:r>
      </w:hyperlink>
      <w:r w:rsidRPr="008352FF">
        <w:rPr>
          <w:rFonts w:eastAsia="Times New Roman"/>
          <w:i/>
          <w:color w:val="000000"/>
          <w:sz w:val="22"/>
          <w:u w:val="single"/>
        </w:rPr>
        <w:t>)</w:t>
      </w:r>
      <w:r w:rsidR="00E72AFD">
        <w:rPr>
          <w:rFonts w:eastAsia="Times New Roman"/>
          <w:i/>
          <w:color w:val="000000"/>
          <w:sz w:val="22"/>
          <w:u w:val="single"/>
        </w:rPr>
        <w:t xml:space="preserve"> and </w:t>
      </w:r>
    </w:p>
    <w:p w14:paraId="2D3A7028" w14:textId="77777777" w:rsidR="008352FF" w:rsidRPr="008352FF" w:rsidRDefault="008352FF" w:rsidP="00FD4A9D">
      <w:pPr>
        <w:pBdr>
          <w:top w:val="nil"/>
          <w:left w:val="nil"/>
          <w:bottom w:val="nil"/>
          <w:right w:val="nil"/>
          <w:between w:val="nil"/>
        </w:pBdr>
        <w:rPr>
          <w:sz w:val="22"/>
        </w:rPr>
      </w:pPr>
    </w:p>
    <w:p w14:paraId="299CFF25" w14:textId="77777777" w:rsidR="008352FF" w:rsidRPr="008352FF" w:rsidRDefault="00201BA7" w:rsidP="00FD4A9D">
      <w:pPr>
        <w:pBdr>
          <w:top w:val="nil"/>
          <w:left w:val="nil"/>
          <w:bottom w:val="nil"/>
          <w:right w:val="nil"/>
          <w:between w:val="nil"/>
        </w:pBdr>
        <w:rPr>
          <w:sz w:val="22"/>
        </w:rPr>
      </w:pPr>
      <w:r w:rsidRPr="008352FF">
        <w:rPr>
          <w:sz w:val="22"/>
        </w:rPr>
        <w:t>D</w:t>
      </w:r>
      <w:r w:rsidR="00612215" w:rsidRPr="008352FF">
        <w:rPr>
          <w:sz w:val="22"/>
        </w:rPr>
        <w:t xml:space="preserve">espite </w:t>
      </w:r>
      <w:r w:rsidR="008E781F" w:rsidRPr="008352FF">
        <w:rPr>
          <w:sz w:val="22"/>
        </w:rPr>
        <w:t>the need for a constructive, comprehensive approach</w:t>
      </w:r>
      <w:r w:rsidR="006924CE" w:rsidRPr="008352FF">
        <w:rPr>
          <w:sz w:val="22"/>
        </w:rPr>
        <w:t xml:space="preserve"> to tackle the range of barriers to access to medicine</w:t>
      </w:r>
      <w:r w:rsidRPr="008352FF">
        <w:rPr>
          <w:sz w:val="22"/>
        </w:rPr>
        <w:t xml:space="preserve"> (</w:t>
      </w:r>
      <w:r w:rsidR="008E781F" w:rsidRPr="008352FF">
        <w:rPr>
          <w:sz w:val="22"/>
        </w:rPr>
        <w:t xml:space="preserve">and </w:t>
      </w:r>
      <w:r w:rsidRPr="008352FF">
        <w:rPr>
          <w:sz w:val="22"/>
        </w:rPr>
        <w:t>reasonable</w:t>
      </w:r>
      <w:r w:rsidR="008E781F" w:rsidRPr="008352FF">
        <w:rPr>
          <w:sz w:val="22"/>
        </w:rPr>
        <w:t xml:space="preserve"> language </w:t>
      </w:r>
      <w:r w:rsidRPr="008352FF">
        <w:rPr>
          <w:sz w:val="22"/>
        </w:rPr>
        <w:t>on innovation</w:t>
      </w:r>
      <w:r w:rsidR="0044788B" w:rsidRPr="008352FF">
        <w:rPr>
          <w:sz w:val="22"/>
        </w:rPr>
        <w:t xml:space="preserve">/IP and access to medicines in </w:t>
      </w:r>
      <w:r w:rsidR="00612215" w:rsidRPr="008352FF">
        <w:rPr>
          <w:sz w:val="22"/>
        </w:rPr>
        <w:t>the</w:t>
      </w:r>
      <w:r w:rsidR="008E781F" w:rsidRPr="008352FF">
        <w:rPr>
          <w:sz w:val="22"/>
        </w:rPr>
        <w:t xml:space="preserve"> </w:t>
      </w:r>
      <w:hyperlink r:id="rId11" w:history="1">
        <w:r w:rsidR="008E781F" w:rsidRPr="008352FF">
          <w:rPr>
            <w:rStyle w:val="Hyperlink"/>
            <w:sz w:val="22"/>
          </w:rPr>
          <w:t xml:space="preserve">October 2018 </w:t>
        </w:r>
        <w:r w:rsidR="00612215" w:rsidRPr="008352FF">
          <w:rPr>
            <w:rStyle w:val="Hyperlink"/>
            <w:sz w:val="22"/>
          </w:rPr>
          <w:t>United Nations General Assembly resolution on tuberculosis</w:t>
        </w:r>
      </w:hyperlink>
      <w:r w:rsidRPr="008352FF">
        <w:rPr>
          <w:sz w:val="22"/>
        </w:rPr>
        <w:t>)</w:t>
      </w:r>
      <w:r w:rsidR="00612215" w:rsidRPr="008352FF">
        <w:rPr>
          <w:sz w:val="22"/>
        </w:rPr>
        <w:t xml:space="preserve">, </w:t>
      </w:r>
      <w:r w:rsidR="008352FF" w:rsidRPr="008352FF">
        <w:rPr>
          <w:sz w:val="22"/>
        </w:rPr>
        <w:t>t</w:t>
      </w:r>
      <w:r w:rsidR="00614A6E" w:rsidRPr="008352FF">
        <w:rPr>
          <w:sz w:val="22"/>
        </w:rPr>
        <w:t xml:space="preserve">he WHO continues to </w:t>
      </w:r>
      <w:r w:rsidR="00612215" w:rsidRPr="008352FF">
        <w:rPr>
          <w:sz w:val="22"/>
        </w:rPr>
        <w:t>cast IP</w:t>
      </w:r>
      <w:r w:rsidR="00EC2A8B" w:rsidRPr="008352FF">
        <w:rPr>
          <w:sz w:val="22"/>
        </w:rPr>
        <w:t xml:space="preserve"> and innovation-driven pricing</w:t>
      </w:r>
      <w:r w:rsidR="00614A6E" w:rsidRPr="008352FF">
        <w:rPr>
          <w:sz w:val="22"/>
        </w:rPr>
        <w:t xml:space="preserve"> as</w:t>
      </w:r>
      <w:r w:rsidR="00EC2A8B" w:rsidRPr="008352FF">
        <w:rPr>
          <w:sz w:val="22"/>
        </w:rPr>
        <w:t xml:space="preserve"> </w:t>
      </w:r>
      <w:r w:rsidR="00614A6E" w:rsidRPr="008352FF">
        <w:rPr>
          <w:sz w:val="22"/>
        </w:rPr>
        <w:t>inherent barrier</w:t>
      </w:r>
      <w:r w:rsidR="00EC2A8B" w:rsidRPr="008352FF">
        <w:rPr>
          <w:sz w:val="22"/>
        </w:rPr>
        <w:t>s</w:t>
      </w:r>
      <w:r w:rsidR="00614A6E" w:rsidRPr="008352FF">
        <w:rPr>
          <w:sz w:val="22"/>
        </w:rPr>
        <w:t xml:space="preserve"> to access</w:t>
      </w:r>
      <w:r w:rsidR="008352FF" w:rsidRPr="008352FF">
        <w:rPr>
          <w:sz w:val="22"/>
        </w:rPr>
        <w:t>, undervaluing the critical role of market incentives to drive health innovation</w:t>
      </w:r>
      <w:r w:rsidR="00EC2A8B" w:rsidRPr="008352FF">
        <w:rPr>
          <w:sz w:val="22"/>
        </w:rPr>
        <w:t>.</w:t>
      </w:r>
    </w:p>
    <w:p w14:paraId="7D7A2FCC" w14:textId="77777777" w:rsidR="008352FF" w:rsidRPr="008352FF" w:rsidRDefault="008352FF" w:rsidP="00FD4A9D">
      <w:pPr>
        <w:pBdr>
          <w:top w:val="nil"/>
          <w:left w:val="nil"/>
          <w:bottom w:val="nil"/>
          <w:right w:val="nil"/>
          <w:between w:val="nil"/>
        </w:pBdr>
        <w:rPr>
          <w:sz w:val="22"/>
        </w:rPr>
      </w:pPr>
    </w:p>
    <w:p w14:paraId="1F3E726B" w14:textId="5CC28B41" w:rsidR="008352FF" w:rsidRDefault="00FD4A9D" w:rsidP="008352FF">
      <w:pPr>
        <w:pBdr>
          <w:top w:val="nil"/>
          <w:left w:val="nil"/>
          <w:bottom w:val="nil"/>
          <w:right w:val="nil"/>
          <w:between w:val="nil"/>
        </w:pBdr>
        <w:rPr>
          <w:sz w:val="22"/>
        </w:rPr>
      </w:pPr>
      <w:r w:rsidRPr="008352FF">
        <w:rPr>
          <w:sz w:val="22"/>
        </w:rPr>
        <w:t>T</w:t>
      </w:r>
      <w:r w:rsidR="00614A6E" w:rsidRPr="008352FF">
        <w:rPr>
          <w:sz w:val="22"/>
        </w:rPr>
        <w:t xml:space="preserve">his year’s </w:t>
      </w:r>
      <w:r w:rsidR="008352FF" w:rsidRPr="008352FF">
        <w:rPr>
          <w:sz w:val="22"/>
        </w:rPr>
        <w:t>meetings</w:t>
      </w:r>
      <w:r w:rsidR="00614A6E" w:rsidRPr="008352FF">
        <w:rPr>
          <w:sz w:val="22"/>
        </w:rPr>
        <w:t xml:space="preserve">, for example, </w:t>
      </w:r>
      <w:r w:rsidR="008352FF" w:rsidRPr="008352FF">
        <w:rPr>
          <w:sz w:val="22"/>
        </w:rPr>
        <w:t>will discuss implementation of a key WHO plan (Global Strategy and Plan of Action on Public Health, Innovation and Intellectual Property), with proposed activities and policy recommendations that reflect an unbalanced approach to IP and that exceed the WHO’s member-state approved mandate. Such activities, if carried out, would undermine health innovation without meaningfully improving access to medicines in the developing world in line with the plan’s original mandate (to promote R&amp;D in into diseases disproportionately affecting the developing world).</w:t>
      </w:r>
    </w:p>
    <w:p w14:paraId="65DAC1E3" w14:textId="24679D7B" w:rsidR="00614A6E" w:rsidRDefault="00614A6E" w:rsidP="007F1334">
      <w:pPr>
        <w:rPr>
          <w:sz w:val="22"/>
        </w:rPr>
      </w:pPr>
    </w:p>
    <w:p w14:paraId="1EBEA780" w14:textId="5C9B31C9" w:rsidR="00612215" w:rsidRPr="00201BA7" w:rsidRDefault="00612215" w:rsidP="00612215">
      <w:pPr>
        <w:rPr>
          <w:b/>
          <w:sz w:val="22"/>
        </w:rPr>
      </w:pPr>
      <w:r w:rsidRPr="00201BA7">
        <w:rPr>
          <w:b/>
          <w:sz w:val="22"/>
        </w:rPr>
        <w:t>Non-Communicable Diseases (NCDs) and Nutrition Issues</w:t>
      </w:r>
    </w:p>
    <w:p w14:paraId="51B12348" w14:textId="31B90979" w:rsidR="00E72AFD" w:rsidRPr="00E72AFD" w:rsidRDefault="008E781F" w:rsidP="00E72AFD">
      <w:pPr>
        <w:rPr>
          <w:i/>
          <w:color w:val="000000"/>
          <w:sz w:val="22"/>
          <w:u w:val="single"/>
        </w:rPr>
      </w:pPr>
      <w:r w:rsidRPr="00E72AFD">
        <w:rPr>
          <w:i/>
          <w:sz w:val="22"/>
          <w:u w:val="single"/>
        </w:rPr>
        <w:lastRenderedPageBreak/>
        <w:t xml:space="preserve">Agenda items: </w:t>
      </w:r>
      <w:r w:rsidR="00E72AFD" w:rsidRPr="00E72AFD">
        <w:rPr>
          <w:i/>
          <w:color w:val="000000"/>
          <w:sz w:val="22"/>
          <w:u w:val="single"/>
        </w:rPr>
        <w:t>7.2 Political declaration of the third high-level meeting of the General Assembly on the prevention and control of non-communicable diseases (</w:t>
      </w:r>
      <w:hyperlink r:id="rId12" w:history="1">
        <w:r w:rsidR="00E72AFD" w:rsidRPr="00E72AFD">
          <w:rPr>
            <w:rStyle w:val="Hyperlink"/>
            <w:i/>
            <w:sz w:val="22"/>
          </w:rPr>
          <w:t>EB146/7</w:t>
        </w:r>
      </w:hyperlink>
      <w:r w:rsidR="00E72AFD" w:rsidRPr="00E72AFD">
        <w:rPr>
          <w:i/>
          <w:color w:val="000000"/>
          <w:sz w:val="22"/>
          <w:u w:val="single"/>
        </w:rPr>
        <w:t xml:space="preserve">), </w:t>
      </w:r>
      <w:r w:rsidR="00E72AFD" w:rsidRPr="00E72AFD">
        <w:rPr>
          <w:i/>
          <w:sz w:val="22"/>
          <w:u w:val="single"/>
        </w:rPr>
        <w:t>7.2 Add. 1 Findings of the consultative process on implementation of the global strategy to reduce the harmful use of alcohol and the way forward (</w:t>
      </w:r>
      <w:hyperlink r:id="rId13" w:history="1">
        <w:r w:rsidR="00E72AFD" w:rsidRPr="00E72AFD">
          <w:rPr>
            <w:rStyle w:val="Hyperlink"/>
            <w:i/>
            <w:sz w:val="22"/>
          </w:rPr>
          <w:t>EB146/7 Add.1</w:t>
        </w:r>
      </w:hyperlink>
      <w:r w:rsidR="00E72AFD" w:rsidRPr="00E72AFD">
        <w:rPr>
          <w:i/>
          <w:sz w:val="22"/>
          <w:u w:val="single"/>
        </w:rPr>
        <w:t xml:space="preserve">), </w:t>
      </w:r>
      <w:r w:rsidR="00E72AFD" w:rsidRPr="00E72AFD">
        <w:rPr>
          <w:i/>
          <w:color w:val="000000"/>
          <w:sz w:val="22"/>
          <w:u w:val="single"/>
        </w:rPr>
        <w:t>18. Maternal, infant and young child nutrition (Comprehensive implementation plan on maternal, infant and young child nutrition: biennial report (</w:t>
      </w:r>
      <w:hyperlink r:id="rId14" w:history="1">
        <w:r w:rsidR="00E72AFD" w:rsidRPr="00E72AFD">
          <w:rPr>
            <w:rStyle w:val="Hyperlink"/>
            <w:i/>
            <w:sz w:val="22"/>
          </w:rPr>
          <w:t>EB146/24</w:t>
        </w:r>
      </w:hyperlink>
      <w:r w:rsidR="00E72AFD" w:rsidRPr="00E72AFD">
        <w:rPr>
          <w:i/>
          <w:color w:val="000000"/>
          <w:sz w:val="22"/>
          <w:u w:val="single"/>
        </w:rPr>
        <w:t>)), and 19. Accelerating efforts on food safety (</w:t>
      </w:r>
      <w:hyperlink r:id="rId15" w:history="1">
        <w:r w:rsidR="00E72AFD" w:rsidRPr="00E72AFD">
          <w:rPr>
            <w:rStyle w:val="Hyperlink"/>
            <w:i/>
            <w:sz w:val="22"/>
          </w:rPr>
          <w:t>EB146/25</w:t>
        </w:r>
      </w:hyperlink>
      <w:r w:rsidR="00E72AFD" w:rsidRPr="00E72AFD">
        <w:rPr>
          <w:i/>
          <w:color w:val="000000"/>
          <w:sz w:val="22"/>
          <w:u w:val="single"/>
        </w:rPr>
        <w:t>)</w:t>
      </w:r>
    </w:p>
    <w:p w14:paraId="0EF46954" w14:textId="77777777" w:rsidR="00E72AFD" w:rsidRPr="00201BA7" w:rsidRDefault="00E72AFD" w:rsidP="008E781F">
      <w:pPr>
        <w:rPr>
          <w:i/>
          <w:sz w:val="22"/>
          <w:u w:val="single"/>
        </w:rPr>
      </w:pPr>
    </w:p>
    <w:p w14:paraId="25D147C1" w14:textId="1FE46C41" w:rsidR="005A5555" w:rsidRDefault="00201BA7" w:rsidP="00CB7DF3">
      <w:pPr>
        <w:rPr>
          <w:sz w:val="22"/>
        </w:rPr>
      </w:pPr>
      <w:r w:rsidRPr="00201BA7">
        <w:rPr>
          <w:sz w:val="22"/>
        </w:rPr>
        <w:t xml:space="preserve">Experience </w:t>
      </w:r>
      <w:r w:rsidR="005A5555">
        <w:rPr>
          <w:sz w:val="22"/>
        </w:rPr>
        <w:t xml:space="preserve">continues to show </w:t>
      </w:r>
      <w:r w:rsidRPr="00201BA7">
        <w:rPr>
          <w:sz w:val="22"/>
        </w:rPr>
        <w:t xml:space="preserve">that </w:t>
      </w:r>
      <w:r w:rsidR="005A5555">
        <w:rPr>
          <w:sz w:val="22"/>
        </w:rPr>
        <w:t xml:space="preserve">the </w:t>
      </w:r>
      <w:r w:rsidR="00CB7DF3" w:rsidRPr="00201BA7">
        <w:rPr>
          <w:sz w:val="22"/>
        </w:rPr>
        <w:t xml:space="preserve">most effective way to </w:t>
      </w:r>
      <w:r w:rsidR="00612215" w:rsidRPr="00201BA7">
        <w:rPr>
          <w:sz w:val="22"/>
        </w:rPr>
        <w:t xml:space="preserve">tackle non-communicable diseases (NCDs, such as cancer and diabetes) </w:t>
      </w:r>
      <w:r w:rsidRPr="00201BA7">
        <w:rPr>
          <w:sz w:val="22"/>
        </w:rPr>
        <w:t>combines</w:t>
      </w:r>
      <w:r w:rsidR="00612215" w:rsidRPr="00201BA7">
        <w:rPr>
          <w:sz w:val="22"/>
        </w:rPr>
        <w:t xml:space="preserve"> private sector, U.N. agenc</w:t>
      </w:r>
      <w:r w:rsidRPr="00201BA7">
        <w:rPr>
          <w:sz w:val="22"/>
        </w:rPr>
        <w:t>y</w:t>
      </w:r>
      <w:r w:rsidR="00612215" w:rsidRPr="00201BA7">
        <w:rPr>
          <w:sz w:val="22"/>
        </w:rPr>
        <w:t xml:space="preserve"> and </w:t>
      </w:r>
      <w:r w:rsidRPr="00201BA7">
        <w:rPr>
          <w:sz w:val="22"/>
        </w:rPr>
        <w:t xml:space="preserve">government efforts and </w:t>
      </w:r>
      <w:r w:rsidR="00CB7DF3" w:rsidRPr="00201BA7">
        <w:rPr>
          <w:sz w:val="22"/>
        </w:rPr>
        <w:t>approaches based on scientific evidence, risk assessment, and robust</w:t>
      </w:r>
      <w:r w:rsidRPr="00201BA7">
        <w:rPr>
          <w:sz w:val="22"/>
        </w:rPr>
        <w:t xml:space="preserve"> </w:t>
      </w:r>
      <w:r w:rsidR="00CB7DF3" w:rsidRPr="00201BA7">
        <w:rPr>
          <w:sz w:val="22"/>
        </w:rPr>
        <w:t>analyses that consider</w:t>
      </w:r>
      <w:r w:rsidRPr="00201BA7">
        <w:rPr>
          <w:sz w:val="22"/>
        </w:rPr>
        <w:t xml:space="preserve"> all</w:t>
      </w:r>
      <w:r w:rsidR="00CB7DF3" w:rsidRPr="00201BA7">
        <w:rPr>
          <w:sz w:val="22"/>
        </w:rPr>
        <w:t xml:space="preserve"> direct and indirect costs.</w:t>
      </w:r>
      <w:r w:rsidRPr="00201BA7">
        <w:rPr>
          <w:sz w:val="22"/>
        </w:rPr>
        <w:t xml:space="preserve"> Though these approaches were reflected in the </w:t>
      </w:r>
      <w:hyperlink r:id="rId16" w:history="1">
        <w:r w:rsidRPr="00201BA7">
          <w:rPr>
            <w:rStyle w:val="Hyperlink"/>
            <w:sz w:val="22"/>
          </w:rPr>
          <w:t>October 2018 United Nations General Assembly resolution on NCDs</w:t>
        </w:r>
      </w:hyperlink>
      <w:r w:rsidRPr="00201BA7">
        <w:rPr>
          <w:sz w:val="22"/>
        </w:rPr>
        <w:t>, t</w:t>
      </w:r>
      <w:r w:rsidR="00CB7DF3" w:rsidRPr="00201BA7">
        <w:rPr>
          <w:sz w:val="22"/>
        </w:rPr>
        <w:t xml:space="preserve">he WHO continues to lobby </w:t>
      </w:r>
      <w:r w:rsidR="005A5555">
        <w:rPr>
          <w:sz w:val="22"/>
        </w:rPr>
        <w:t xml:space="preserve">national governments to adopt </w:t>
      </w:r>
      <w:r w:rsidRPr="00201BA7">
        <w:rPr>
          <w:sz w:val="22"/>
        </w:rPr>
        <w:t xml:space="preserve">approaches to non-communicable diseases that do not align with these approaches – including a specific </w:t>
      </w:r>
      <w:r w:rsidR="00CB7DF3" w:rsidRPr="00201BA7">
        <w:rPr>
          <w:sz w:val="22"/>
        </w:rPr>
        <w:t>set of p</w:t>
      </w:r>
      <w:r w:rsidRPr="00201BA7">
        <w:rPr>
          <w:sz w:val="22"/>
        </w:rPr>
        <w:t>roblematic p</w:t>
      </w:r>
      <w:r w:rsidR="00CB7DF3" w:rsidRPr="00201BA7">
        <w:rPr>
          <w:sz w:val="22"/>
        </w:rPr>
        <w:t>olicy recommendations. Known colloquially as the WHO’s “best buys,” these recommendations includ</w:t>
      </w:r>
      <w:r w:rsidR="00FD4A9D" w:rsidRPr="00201BA7">
        <w:rPr>
          <w:sz w:val="22"/>
        </w:rPr>
        <w:t>e e</w:t>
      </w:r>
      <w:r w:rsidR="00CB7DF3" w:rsidRPr="00201BA7">
        <w:rPr>
          <w:sz w:val="22"/>
        </w:rPr>
        <w:t>xcise taxes and marketing restrictions for food, beverage, and alcohol products.</w:t>
      </w:r>
    </w:p>
    <w:p w14:paraId="56AE4574" w14:textId="77777777" w:rsidR="005A5555" w:rsidRDefault="005A5555" w:rsidP="00CB7DF3">
      <w:pPr>
        <w:rPr>
          <w:sz w:val="22"/>
        </w:rPr>
      </w:pPr>
    </w:p>
    <w:p w14:paraId="6A51213F" w14:textId="6E200F72" w:rsidR="005A5555" w:rsidRDefault="00FD4A9D" w:rsidP="00CB7DF3">
      <w:pPr>
        <w:rPr>
          <w:sz w:val="22"/>
        </w:rPr>
      </w:pPr>
      <w:r w:rsidRPr="00201BA7">
        <w:rPr>
          <w:sz w:val="22"/>
        </w:rPr>
        <w:t xml:space="preserve">This year’s agenda includes multiple reports (including the Director-General’s </w:t>
      </w:r>
      <w:r w:rsidR="005A5555">
        <w:rPr>
          <w:sz w:val="22"/>
        </w:rPr>
        <w:t xml:space="preserve">latest report on </w:t>
      </w:r>
      <w:r w:rsidRPr="00201BA7">
        <w:rPr>
          <w:sz w:val="22"/>
        </w:rPr>
        <w:t>NCD</w:t>
      </w:r>
      <w:r w:rsidR="005A5555">
        <w:rPr>
          <w:sz w:val="22"/>
        </w:rPr>
        <w:t xml:space="preserve">s and report on the process to update the Global Strategy to Reduce the Harmful Use of Alcohol) that </w:t>
      </w:r>
      <w:r w:rsidRPr="00201BA7">
        <w:rPr>
          <w:sz w:val="22"/>
        </w:rPr>
        <w:t xml:space="preserve">pressure member states to adopt these approaches, </w:t>
      </w:r>
      <w:r w:rsidR="005A5555">
        <w:rPr>
          <w:sz w:val="22"/>
        </w:rPr>
        <w:t xml:space="preserve">including calls for expanded taxes </w:t>
      </w:r>
      <w:r w:rsidR="00B116E2">
        <w:rPr>
          <w:sz w:val="22"/>
        </w:rPr>
        <w:t xml:space="preserve">and regulatory restrictions on sectors such as </w:t>
      </w:r>
      <w:r w:rsidR="005A5555">
        <w:rPr>
          <w:sz w:val="22"/>
        </w:rPr>
        <w:t xml:space="preserve">alcohol as well as a push to expand </w:t>
      </w:r>
      <w:r w:rsidR="00B116E2">
        <w:rPr>
          <w:sz w:val="22"/>
        </w:rPr>
        <w:t xml:space="preserve">“best buy”-style taxes </w:t>
      </w:r>
      <w:r w:rsidR="005A5555">
        <w:rPr>
          <w:sz w:val="22"/>
        </w:rPr>
        <w:t>to new sectors, such as energy.</w:t>
      </w:r>
      <w:r w:rsidR="00462E23">
        <w:rPr>
          <w:sz w:val="22"/>
        </w:rPr>
        <w:t xml:space="preserve">  </w:t>
      </w:r>
    </w:p>
    <w:p w14:paraId="5EFD7C40" w14:textId="3D949C8F" w:rsidR="00462E23" w:rsidRDefault="00462E23" w:rsidP="00CB7DF3">
      <w:pPr>
        <w:rPr>
          <w:sz w:val="22"/>
        </w:rPr>
      </w:pPr>
    </w:p>
    <w:p w14:paraId="0946F6B7" w14:textId="5294EE22" w:rsidR="00462E23" w:rsidRDefault="00462E23" w:rsidP="00CB7DF3">
      <w:pPr>
        <w:rPr>
          <w:sz w:val="22"/>
        </w:rPr>
      </w:pPr>
      <w:r>
        <w:rPr>
          <w:sz w:val="22"/>
        </w:rPr>
        <w:t>We have also heard rumor of some member states seeking to establish a potential tobacco-style framework convention for the global alcohol industry – a call that mirrors past calls for this type of approach with other sectors (such as food and beverages)</w:t>
      </w:r>
    </w:p>
    <w:p w14:paraId="0779BF08" w14:textId="64A25555" w:rsidR="005A5555" w:rsidRDefault="005A5555" w:rsidP="00CB7DF3">
      <w:pPr>
        <w:rPr>
          <w:sz w:val="22"/>
        </w:rPr>
      </w:pPr>
    </w:p>
    <w:p w14:paraId="6ADE9A5C" w14:textId="6807A8ED" w:rsidR="00B116E2" w:rsidRDefault="00FD4A9D" w:rsidP="00CB7DF3">
      <w:pPr>
        <w:rPr>
          <w:color w:val="000000"/>
          <w:sz w:val="22"/>
        </w:rPr>
      </w:pPr>
      <w:r w:rsidRPr="00201BA7">
        <w:rPr>
          <w:sz w:val="22"/>
        </w:rPr>
        <w:t xml:space="preserve">The agenda also </w:t>
      </w:r>
      <w:r w:rsidR="00462E23">
        <w:rPr>
          <w:sz w:val="22"/>
        </w:rPr>
        <w:t>includes active consideration of</w:t>
      </w:r>
      <w:r w:rsidRPr="00201BA7">
        <w:rPr>
          <w:sz w:val="22"/>
        </w:rPr>
        <w:t xml:space="preserve"> </w:t>
      </w:r>
      <w:r w:rsidR="00CB7DF3" w:rsidRPr="00201BA7">
        <w:rPr>
          <w:sz w:val="22"/>
        </w:rPr>
        <w:t>problematic</w:t>
      </w:r>
      <w:r w:rsidR="008E781F" w:rsidRPr="00201BA7">
        <w:rPr>
          <w:sz w:val="22"/>
        </w:rPr>
        <w:t xml:space="preserve"> WHO </w:t>
      </w:r>
      <w:r w:rsidRPr="00201BA7">
        <w:rPr>
          <w:sz w:val="22"/>
        </w:rPr>
        <w:t xml:space="preserve">activity that negatively impacts </w:t>
      </w:r>
      <w:r w:rsidR="00CB7DF3" w:rsidRPr="00201BA7">
        <w:rPr>
          <w:sz w:val="22"/>
        </w:rPr>
        <w:t>various industries,</w:t>
      </w:r>
      <w:r w:rsidR="005A5555">
        <w:rPr>
          <w:sz w:val="22"/>
        </w:rPr>
        <w:t xml:space="preserve"> </w:t>
      </w:r>
      <w:r w:rsidR="00CB7DF3" w:rsidRPr="00201BA7">
        <w:rPr>
          <w:sz w:val="22"/>
        </w:rPr>
        <w:t xml:space="preserve">such as </w:t>
      </w:r>
      <w:bookmarkStart w:id="2" w:name="_Hlk534268801"/>
      <w:r w:rsidR="00B116E2">
        <w:rPr>
          <w:color w:val="000000"/>
          <w:sz w:val="22"/>
        </w:rPr>
        <w:t>explicit references to other problematic work</w:t>
      </w:r>
      <w:r w:rsidR="00462E23">
        <w:rPr>
          <w:color w:val="000000"/>
          <w:sz w:val="22"/>
        </w:rPr>
        <w:t>streams at the FAO and Committee on Food Security</w:t>
      </w:r>
      <w:r w:rsidR="00B116E2">
        <w:rPr>
          <w:color w:val="000000"/>
          <w:sz w:val="22"/>
        </w:rPr>
        <w:t xml:space="preserve"> on “healthy diets,” “processed foods,” and “sustainable food systems</w:t>
      </w:r>
      <w:r w:rsidR="00462E23">
        <w:rPr>
          <w:color w:val="000000"/>
          <w:sz w:val="22"/>
        </w:rPr>
        <w:t>.”</w:t>
      </w:r>
    </w:p>
    <w:p w14:paraId="6782B6C7" w14:textId="7636985C" w:rsidR="00462E23" w:rsidRDefault="00462E23" w:rsidP="00CB7DF3">
      <w:pPr>
        <w:rPr>
          <w:color w:val="000000"/>
          <w:sz w:val="22"/>
        </w:rPr>
      </w:pPr>
    </w:p>
    <w:p w14:paraId="5C07D2C5" w14:textId="402B9795" w:rsidR="005A5555" w:rsidRPr="005A5555" w:rsidRDefault="005A5555" w:rsidP="005A5555">
      <w:pPr>
        <w:pBdr>
          <w:top w:val="nil"/>
          <w:left w:val="nil"/>
          <w:bottom w:val="nil"/>
          <w:right w:val="nil"/>
          <w:between w:val="nil"/>
        </w:pBdr>
        <w:contextualSpacing/>
        <w:rPr>
          <w:b/>
          <w:bCs/>
          <w:iCs/>
          <w:color w:val="000000"/>
          <w:sz w:val="22"/>
        </w:rPr>
      </w:pPr>
      <w:r w:rsidRPr="005A5555">
        <w:rPr>
          <w:b/>
          <w:bCs/>
          <w:iCs/>
          <w:color w:val="000000"/>
          <w:sz w:val="22"/>
        </w:rPr>
        <w:t xml:space="preserve">Food </w:t>
      </w:r>
      <w:r>
        <w:rPr>
          <w:b/>
          <w:bCs/>
          <w:iCs/>
          <w:color w:val="000000"/>
          <w:sz w:val="22"/>
        </w:rPr>
        <w:t>S</w:t>
      </w:r>
      <w:r w:rsidRPr="005A5555">
        <w:rPr>
          <w:b/>
          <w:bCs/>
          <w:iCs/>
          <w:color w:val="000000"/>
          <w:sz w:val="22"/>
        </w:rPr>
        <w:t>afety</w:t>
      </w:r>
    </w:p>
    <w:p w14:paraId="332DB7B8" w14:textId="6A00F098" w:rsidR="005A5555" w:rsidRPr="005A5555" w:rsidRDefault="005A5555" w:rsidP="005A5555">
      <w:pPr>
        <w:rPr>
          <w:i/>
          <w:color w:val="000000"/>
          <w:sz w:val="22"/>
          <w:u w:val="single"/>
        </w:rPr>
      </w:pPr>
      <w:r w:rsidRPr="005A5555">
        <w:rPr>
          <w:i/>
          <w:sz w:val="22"/>
          <w:u w:val="single"/>
        </w:rPr>
        <w:t xml:space="preserve">Agenda items: </w:t>
      </w:r>
      <w:r w:rsidRPr="005A5555">
        <w:rPr>
          <w:i/>
          <w:color w:val="000000"/>
          <w:sz w:val="22"/>
          <w:u w:val="single"/>
        </w:rPr>
        <w:t>19. Accelerating efforts on food safety (</w:t>
      </w:r>
      <w:hyperlink r:id="rId17" w:history="1">
        <w:r w:rsidRPr="005A5555">
          <w:rPr>
            <w:rStyle w:val="Hyperlink"/>
            <w:i/>
            <w:sz w:val="22"/>
          </w:rPr>
          <w:t>EB146/25</w:t>
        </w:r>
      </w:hyperlink>
      <w:r w:rsidRPr="005A5555">
        <w:rPr>
          <w:i/>
          <w:color w:val="000000"/>
          <w:sz w:val="22"/>
          <w:u w:val="single"/>
        </w:rPr>
        <w:t>)</w:t>
      </w:r>
    </w:p>
    <w:p w14:paraId="69396551" w14:textId="59F0B8E7" w:rsidR="005A5555" w:rsidRDefault="005A5555" w:rsidP="005A5555">
      <w:pPr>
        <w:pBdr>
          <w:top w:val="nil"/>
          <w:left w:val="nil"/>
          <w:bottom w:val="nil"/>
          <w:right w:val="nil"/>
          <w:between w:val="nil"/>
        </w:pBdr>
        <w:contextualSpacing/>
        <w:rPr>
          <w:iCs/>
          <w:color w:val="000000"/>
          <w:sz w:val="22"/>
        </w:rPr>
      </w:pPr>
    </w:p>
    <w:p w14:paraId="5363F30D" w14:textId="30022056" w:rsidR="005A5555" w:rsidRPr="005A5555" w:rsidRDefault="005A5555" w:rsidP="005A5555">
      <w:pPr>
        <w:pBdr>
          <w:top w:val="nil"/>
          <w:left w:val="nil"/>
          <w:bottom w:val="nil"/>
          <w:right w:val="nil"/>
          <w:between w:val="nil"/>
        </w:pBdr>
        <w:contextualSpacing/>
        <w:rPr>
          <w:rFonts w:eastAsia="Calibri"/>
          <w:color w:val="222222"/>
          <w:sz w:val="22"/>
        </w:rPr>
      </w:pPr>
      <w:r>
        <w:rPr>
          <w:iCs/>
          <w:color w:val="000000"/>
          <w:sz w:val="22"/>
        </w:rPr>
        <w:t>Food safety remains a critically important area for businesses, farmers, societies and governments, as c</w:t>
      </w:r>
      <w:r w:rsidRPr="005A5555">
        <w:rPr>
          <w:rFonts w:eastAsia="Calibri"/>
          <w:color w:val="222222"/>
          <w:sz w:val="22"/>
        </w:rPr>
        <w:t>ommunicable, foodborne illness remain a major global public health challenge.</w:t>
      </w:r>
      <w:r>
        <w:rPr>
          <w:rFonts w:eastAsia="Calibri"/>
          <w:color w:val="222222"/>
          <w:sz w:val="22"/>
        </w:rPr>
        <w:t xml:space="preserve"> The </w:t>
      </w:r>
      <w:r>
        <w:rPr>
          <w:iCs/>
          <w:color w:val="000000"/>
          <w:sz w:val="22"/>
        </w:rPr>
        <w:t xml:space="preserve">WHO is uniquely positioned to </w:t>
      </w:r>
      <w:r w:rsidR="00B116E2">
        <w:rPr>
          <w:iCs/>
          <w:color w:val="000000"/>
          <w:sz w:val="22"/>
        </w:rPr>
        <w:t xml:space="preserve">be a leader </w:t>
      </w:r>
      <w:r>
        <w:rPr>
          <w:iCs/>
          <w:color w:val="000000"/>
          <w:sz w:val="22"/>
        </w:rPr>
        <w:t xml:space="preserve">on this issue. In the recent past, however, the WHO’s food safety work has received less attention than its work on other areas, such as nutrition and NCDs. The WHO can work </w:t>
      </w:r>
      <w:r w:rsidRPr="005A5555">
        <w:rPr>
          <w:rFonts w:eastAsia="Calibri"/>
          <w:color w:val="222222"/>
          <w:sz w:val="22"/>
        </w:rPr>
        <w:t>constructively to address the direct health risk of unsafe food</w:t>
      </w:r>
      <w:r>
        <w:rPr>
          <w:rFonts w:eastAsia="Calibri"/>
          <w:color w:val="222222"/>
          <w:sz w:val="22"/>
        </w:rPr>
        <w:t xml:space="preserve"> through work to promote </w:t>
      </w:r>
      <w:r w:rsidRPr="005A5555">
        <w:rPr>
          <w:rFonts w:eastAsia="Calibri"/>
          <w:color w:val="222222"/>
          <w:sz w:val="22"/>
        </w:rPr>
        <w:t xml:space="preserve">regulatory capacity-building in countries around the world to foster improved on-the-ground food safety efforts and providing technical and scientific support through its expert committees. </w:t>
      </w:r>
      <w:r w:rsidR="00B116E2">
        <w:rPr>
          <w:rFonts w:eastAsia="Calibri"/>
          <w:color w:val="222222"/>
          <w:sz w:val="22"/>
        </w:rPr>
        <w:t>This would complement work by others, including the Food and Agriculture Organization (as the lead on agriculture policy) and Codex Alimentarius (the lead organization on science-based food safety standards).</w:t>
      </w:r>
    </w:p>
    <w:p w14:paraId="3C7016A2" w14:textId="673F6557" w:rsidR="005A5555" w:rsidRDefault="005A5555" w:rsidP="005A5555">
      <w:pPr>
        <w:shd w:val="clear" w:color="auto" w:fill="FFFFFF"/>
        <w:rPr>
          <w:rFonts w:eastAsia="Calibri"/>
          <w:color w:val="222222"/>
          <w:sz w:val="22"/>
        </w:rPr>
      </w:pPr>
    </w:p>
    <w:p w14:paraId="2D3CC723" w14:textId="77777777" w:rsidR="00B116E2" w:rsidRDefault="00B116E2" w:rsidP="005A5555">
      <w:pPr>
        <w:shd w:val="clear" w:color="auto" w:fill="FFFFFF"/>
        <w:rPr>
          <w:rFonts w:eastAsia="Calibri"/>
          <w:color w:val="222222"/>
          <w:sz w:val="22"/>
        </w:rPr>
      </w:pPr>
      <w:r>
        <w:rPr>
          <w:rFonts w:eastAsia="Calibri"/>
          <w:color w:val="222222"/>
          <w:sz w:val="22"/>
        </w:rPr>
        <w:t>The agenda includes an important report from the Director-General on accelerating efforts on food safety, and member states are reported to be working on a constructive resolution calling for stronger WHO work in this area that deserves member state support.</w:t>
      </w:r>
    </w:p>
    <w:p w14:paraId="061FAB4D" w14:textId="5C9F4600" w:rsidR="00B116E2" w:rsidRDefault="00B116E2" w:rsidP="005A5555">
      <w:pPr>
        <w:shd w:val="clear" w:color="auto" w:fill="FFFFFF"/>
        <w:rPr>
          <w:rFonts w:eastAsia="Calibri"/>
          <w:color w:val="222222"/>
          <w:sz w:val="22"/>
        </w:rPr>
      </w:pPr>
    </w:p>
    <w:p w14:paraId="683464A5" w14:textId="3F6D2A52" w:rsidR="008E781F" w:rsidRPr="00201BA7" w:rsidRDefault="008E781F" w:rsidP="00CB7DF3">
      <w:pPr>
        <w:rPr>
          <w:b/>
          <w:sz w:val="22"/>
        </w:rPr>
      </w:pPr>
      <w:r w:rsidRPr="00201BA7">
        <w:rPr>
          <w:b/>
          <w:sz w:val="22"/>
        </w:rPr>
        <w:t>Private Sector and “Conflicts of Interest”</w:t>
      </w:r>
    </w:p>
    <w:p w14:paraId="4C7C6AF9" w14:textId="5EDD3718" w:rsidR="00B116E2" w:rsidRPr="00B116E2" w:rsidRDefault="00201BA7" w:rsidP="00B116E2">
      <w:pPr>
        <w:rPr>
          <w:i/>
          <w:sz w:val="22"/>
          <w:u w:val="single"/>
        </w:rPr>
      </w:pPr>
      <w:r w:rsidRPr="00B116E2">
        <w:rPr>
          <w:i/>
          <w:sz w:val="22"/>
          <w:u w:val="single"/>
        </w:rPr>
        <w:lastRenderedPageBreak/>
        <w:t>Agenda items:</w:t>
      </w:r>
      <w:r w:rsidR="00B116E2" w:rsidRPr="00B116E2">
        <w:rPr>
          <w:i/>
          <w:sz w:val="22"/>
          <w:u w:val="single"/>
        </w:rPr>
        <w:t xml:space="preserve"> 22.1 WHO reform: Involvement of non-State actors in WHO’s governing bodies (</w:t>
      </w:r>
      <w:hyperlink r:id="rId18" w:history="1">
        <w:r w:rsidR="00B116E2" w:rsidRPr="00B116E2">
          <w:rPr>
            <w:rStyle w:val="Hyperlink"/>
            <w:i/>
            <w:sz w:val="22"/>
          </w:rPr>
          <w:t>EB146/33</w:t>
        </w:r>
      </w:hyperlink>
      <w:r w:rsidR="00B116E2" w:rsidRPr="00B116E2">
        <w:rPr>
          <w:i/>
          <w:sz w:val="22"/>
          <w:u w:val="single"/>
        </w:rPr>
        <w:t>) and 22.2 Engagement with non-State actors: Report on the implementation of the Framework of Engagement with Non-State Actors (</w:t>
      </w:r>
      <w:hyperlink r:id="rId19" w:history="1">
        <w:r w:rsidR="00B116E2" w:rsidRPr="00B116E2">
          <w:rPr>
            <w:rStyle w:val="Hyperlink"/>
            <w:i/>
            <w:sz w:val="22"/>
          </w:rPr>
          <w:t>EB146/34</w:t>
        </w:r>
      </w:hyperlink>
      <w:r w:rsidR="00B116E2" w:rsidRPr="00B116E2">
        <w:rPr>
          <w:i/>
          <w:sz w:val="22"/>
          <w:u w:val="single"/>
        </w:rPr>
        <w:t>) and Non-State actors in official relations with WHO (</w:t>
      </w:r>
      <w:hyperlink r:id="rId20" w:history="1">
        <w:r w:rsidR="00B116E2" w:rsidRPr="00B116E2">
          <w:rPr>
            <w:rStyle w:val="Hyperlink"/>
            <w:i/>
            <w:sz w:val="22"/>
          </w:rPr>
          <w:t>EB146/35</w:t>
        </w:r>
      </w:hyperlink>
      <w:r w:rsidR="00B116E2" w:rsidRPr="00B116E2">
        <w:rPr>
          <w:i/>
          <w:sz w:val="22"/>
          <w:u w:val="single"/>
        </w:rPr>
        <w:t>)</w:t>
      </w:r>
    </w:p>
    <w:p w14:paraId="55320AF7" w14:textId="77777777" w:rsidR="00B116E2" w:rsidRDefault="00B116E2" w:rsidP="00201BA7">
      <w:pPr>
        <w:rPr>
          <w:sz w:val="22"/>
        </w:rPr>
      </w:pPr>
    </w:p>
    <w:p w14:paraId="0F12B773" w14:textId="16645B1F" w:rsidR="00D551FE" w:rsidRDefault="00201BA7" w:rsidP="00201BA7">
      <w:pPr>
        <w:rPr>
          <w:sz w:val="22"/>
        </w:rPr>
      </w:pPr>
      <w:r>
        <w:rPr>
          <w:sz w:val="22"/>
        </w:rPr>
        <w:t xml:space="preserve">In 2016, the WHO passed a new policy – known as the </w:t>
      </w:r>
      <w:r w:rsidRPr="00201BA7">
        <w:rPr>
          <w:sz w:val="22"/>
        </w:rPr>
        <w:t>Framework on Engagement with Non-State Actors</w:t>
      </w:r>
      <w:r>
        <w:rPr>
          <w:sz w:val="22"/>
        </w:rPr>
        <w:t xml:space="preserve">, or FENSA – to govern the agency’s interaction with non-governmental stakeholders, including the private sector. </w:t>
      </w:r>
      <w:r w:rsidR="00D551FE">
        <w:rPr>
          <w:sz w:val="22"/>
        </w:rPr>
        <w:t>The framework, however, has</w:t>
      </w:r>
      <w:r w:rsidR="0044788B">
        <w:rPr>
          <w:sz w:val="22"/>
        </w:rPr>
        <w:t xml:space="preserve"> had implementation issues, and in practice has </w:t>
      </w:r>
      <w:r w:rsidR="00D551FE">
        <w:rPr>
          <w:sz w:val="22"/>
        </w:rPr>
        <w:t xml:space="preserve">fostered the </w:t>
      </w:r>
      <w:r w:rsidRPr="00201BA7">
        <w:rPr>
          <w:sz w:val="22"/>
        </w:rPr>
        <w:t>false</w:t>
      </w:r>
      <w:r w:rsidR="00D551FE">
        <w:rPr>
          <w:sz w:val="22"/>
        </w:rPr>
        <w:t xml:space="preserve"> </w:t>
      </w:r>
      <w:r w:rsidRPr="00201BA7">
        <w:rPr>
          <w:sz w:val="22"/>
        </w:rPr>
        <w:t>perception that industry</w:t>
      </w:r>
      <w:r w:rsidR="00D551FE">
        <w:rPr>
          <w:sz w:val="22"/>
        </w:rPr>
        <w:t xml:space="preserve"> engagement is inherently problematic, a fact that has somewhat chilled public-private partnerships and prevented industry from providing expertise and resources to inform the WHO’s global health work. </w:t>
      </w:r>
      <w:r w:rsidR="000816E4">
        <w:rPr>
          <w:sz w:val="22"/>
        </w:rPr>
        <w:t>Even this year’s WHO/EB reports include continued negative language casting the private sector as having “conflicts of interest” and negatively “interfering” with health policy.</w:t>
      </w:r>
    </w:p>
    <w:p w14:paraId="6280F68E" w14:textId="39603ED0" w:rsidR="00B116E2" w:rsidRDefault="00B116E2" w:rsidP="00201BA7">
      <w:pPr>
        <w:rPr>
          <w:sz w:val="22"/>
        </w:rPr>
      </w:pPr>
    </w:p>
    <w:p w14:paraId="0203622C" w14:textId="19364A94" w:rsidR="00B116E2" w:rsidRDefault="00B116E2" w:rsidP="00B116E2">
      <w:pPr>
        <w:pStyle w:val="NormalWeb"/>
        <w:spacing w:before="0" w:beforeAutospacing="0" w:after="0" w:afterAutospacing="0"/>
        <w:rPr>
          <w:rFonts w:ascii="Arial" w:hAnsi="Arial" w:cs="Arial"/>
          <w:color w:val="000000"/>
          <w:sz w:val="22"/>
          <w:szCs w:val="22"/>
        </w:rPr>
      </w:pPr>
      <w:r w:rsidRPr="0056495C">
        <w:rPr>
          <w:rFonts w:ascii="Arial" w:hAnsi="Arial" w:cs="Arial"/>
          <w:color w:val="000000"/>
          <w:sz w:val="22"/>
          <w:szCs w:val="22"/>
        </w:rPr>
        <w:t>This year’s agenda inc</w:t>
      </w:r>
      <w:r>
        <w:rPr>
          <w:rFonts w:ascii="Arial" w:hAnsi="Arial" w:cs="Arial"/>
          <w:color w:val="000000"/>
          <w:sz w:val="22"/>
          <w:szCs w:val="22"/>
        </w:rPr>
        <w:t>l</w:t>
      </w:r>
      <w:r w:rsidRPr="0056495C">
        <w:rPr>
          <w:rFonts w:ascii="Arial" w:hAnsi="Arial" w:cs="Arial"/>
          <w:color w:val="000000"/>
          <w:sz w:val="22"/>
          <w:szCs w:val="22"/>
        </w:rPr>
        <w:t>udes a series of reports related to</w:t>
      </w:r>
      <w:r>
        <w:rPr>
          <w:rFonts w:ascii="Arial" w:hAnsi="Arial" w:cs="Arial"/>
          <w:color w:val="000000"/>
          <w:sz w:val="22"/>
          <w:szCs w:val="22"/>
        </w:rPr>
        <w:t xml:space="preserve"> the implementation of</w:t>
      </w:r>
      <w:r w:rsidRPr="0056495C">
        <w:rPr>
          <w:rFonts w:ascii="Arial" w:hAnsi="Arial" w:cs="Arial"/>
          <w:color w:val="000000"/>
          <w:sz w:val="22"/>
          <w:szCs w:val="22"/>
        </w:rPr>
        <w:t xml:space="preserve"> WHO’s FENSA framework, including a Secretariat-drafted report </w:t>
      </w:r>
      <w:r w:rsidRPr="00766E36">
        <w:rPr>
          <w:rFonts w:ascii="Arial" w:hAnsi="Arial" w:cs="Arial"/>
          <w:color w:val="000000"/>
          <w:sz w:val="22"/>
          <w:szCs w:val="22"/>
        </w:rPr>
        <w:t>on FENSA’s implementation and a proposed 2020-2021 workplan for improving that implementation.</w:t>
      </w:r>
      <w:r>
        <w:rPr>
          <w:rFonts w:ascii="Arial" w:hAnsi="Arial" w:cs="Arial"/>
          <w:color w:val="000000"/>
          <w:sz w:val="22"/>
          <w:szCs w:val="22"/>
        </w:rPr>
        <w:t xml:space="preserve"> While these reports rightly highlight “risk aversion” at the technical level, they still provide limited tools to improve limitations. There is a clear need for member states to speak up and highlight examples and best practices for engaging early and often with the private sector, and to improve FENSA implementation.</w:t>
      </w:r>
    </w:p>
    <w:bookmarkEnd w:id="2"/>
    <w:p w14:paraId="48E26465" w14:textId="2523A601" w:rsidR="00B116E2" w:rsidRDefault="00B116E2">
      <w:pPr>
        <w:rPr>
          <w:b/>
          <w:sz w:val="22"/>
          <w:u w:val="single"/>
        </w:rPr>
      </w:pPr>
    </w:p>
    <w:p w14:paraId="63A44668" w14:textId="77777777" w:rsidR="00B116E2" w:rsidRDefault="00B116E2">
      <w:pPr>
        <w:rPr>
          <w:b/>
          <w:sz w:val="22"/>
          <w:u w:val="single"/>
        </w:rPr>
      </w:pPr>
    </w:p>
    <w:p w14:paraId="5BB118F0" w14:textId="71A369ED" w:rsidR="007F1334" w:rsidRPr="00B116E2" w:rsidRDefault="00B116E2">
      <w:pPr>
        <w:rPr>
          <w:b/>
          <w:szCs w:val="24"/>
        </w:rPr>
      </w:pPr>
      <w:r w:rsidRPr="00B116E2">
        <w:rPr>
          <w:b/>
          <w:szCs w:val="24"/>
        </w:rPr>
        <w:t>WAYS TO ENGAGE</w:t>
      </w:r>
    </w:p>
    <w:p w14:paraId="58C19EDB" w14:textId="77777777" w:rsidR="00B116E2" w:rsidRPr="00D551FE" w:rsidRDefault="00B116E2">
      <w:pPr>
        <w:rPr>
          <w:b/>
          <w:sz w:val="22"/>
          <w:u w:val="single"/>
        </w:rPr>
      </w:pPr>
    </w:p>
    <w:p w14:paraId="38D36674" w14:textId="6B3DAC9D" w:rsidR="0071595D" w:rsidRDefault="0071595D">
      <w:pPr>
        <w:rPr>
          <w:sz w:val="22"/>
        </w:rPr>
      </w:pPr>
      <w:r>
        <w:rPr>
          <w:sz w:val="22"/>
        </w:rPr>
        <w:t xml:space="preserve">Impacted business groups can take a variety of steps to address these issues, with the most important step </w:t>
      </w:r>
      <w:r w:rsidR="0044788B">
        <w:rPr>
          <w:sz w:val="22"/>
        </w:rPr>
        <w:t xml:space="preserve">being to engage your national government, asking questions about national positions and raising concerns about the negative impact of WHO policy and approaches.    </w:t>
      </w:r>
    </w:p>
    <w:p w14:paraId="3D0ACA6A" w14:textId="22ABF765" w:rsidR="0071595D" w:rsidRDefault="0071595D">
      <w:pPr>
        <w:rPr>
          <w:sz w:val="22"/>
        </w:rPr>
      </w:pPr>
    </w:p>
    <w:p w14:paraId="4740428B" w14:textId="1BC392D8" w:rsidR="0071595D" w:rsidRDefault="0071595D">
      <w:pPr>
        <w:rPr>
          <w:sz w:val="22"/>
        </w:rPr>
      </w:pPr>
      <w:r>
        <w:rPr>
          <w:sz w:val="22"/>
        </w:rPr>
        <w:t>At a minimum, it is critical to</w:t>
      </w:r>
      <w:r w:rsidR="0044788B">
        <w:rPr>
          <w:sz w:val="22"/>
        </w:rPr>
        <w:t xml:space="preserve"> engage your national government, in any or all of the following ways</w:t>
      </w:r>
      <w:r>
        <w:rPr>
          <w:sz w:val="22"/>
        </w:rPr>
        <w:t>:</w:t>
      </w:r>
    </w:p>
    <w:p w14:paraId="14BBCAF1" w14:textId="32C07DBD" w:rsidR="0071595D" w:rsidRDefault="0071595D" w:rsidP="0071595D">
      <w:pPr>
        <w:pStyle w:val="ListParagraph"/>
        <w:numPr>
          <w:ilvl w:val="0"/>
          <w:numId w:val="11"/>
        </w:numPr>
        <w:rPr>
          <w:sz w:val="22"/>
        </w:rPr>
      </w:pPr>
      <w:r w:rsidRPr="0044788B">
        <w:rPr>
          <w:b/>
          <w:sz w:val="22"/>
        </w:rPr>
        <w:t>Reach out to contacts in your economics</w:t>
      </w:r>
      <w:r w:rsidR="0044788B" w:rsidRPr="0044788B">
        <w:rPr>
          <w:b/>
          <w:sz w:val="22"/>
        </w:rPr>
        <w:t>, trade, and/or agriculture ministries in your national capital:</w:t>
      </w:r>
      <w:r w:rsidR="0044788B">
        <w:rPr>
          <w:sz w:val="22"/>
        </w:rPr>
        <w:t xml:space="preserve"> In practice, these ministries may or may not be aware of, or engaged with, WHO activities even though those activities have a direct material.  Even if they are aware, they may not be engaging the health ministry (usually the lead representative to the WHO) to ensure that their views are reflected in national positions</w:t>
      </w:r>
      <w:r w:rsidR="00042B69">
        <w:rPr>
          <w:sz w:val="22"/>
        </w:rPr>
        <w:t>.</w:t>
      </w:r>
    </w:p>
    <w:p w14:paraId="79AAB502" w14:textId="4DA3812D" w:rsidR="00042B69" w:rsidRPr="00042B69" w:rsidRDefault="0071595D" w:rsidP="0071595D">
      <w:pPr>
        <w:pStyle w:val="ListParagraph"/>
        <w:numPr>
          <w:ilvl w:val="0"/>
          <w:numId w:val="11"/>
        </w:numPr>
        <w:rPr>
          <w:b/>
          <w:sz w:val="22"/>
        </w:rPr>
      </w:pPr>
      <w:r w:rsidRPr="0044788B">
        <w:rPr>
          <w:b/>
          <w:sz w:val="22"/>
        </w:rPr>
        <w:t>Reach out to your health ministry</w:t>
      </w:r>
      <w:r w:rsidR="0044788B" w:rsidRPr="0044788B">
        <w:rPr>
          <w:b/>
          <w:sz w:val="22"/>
        </w:rPr>
        <w:t xml:space="preserve"> (if possible/comfortable)</w:t>
      </w:r>
      <w:r w:rsidR="0044788B">
        <w:rPr>
          <w:sz w:val="22"/>
        </w:rPr>
        <w:t xml:space="preserve">: These ministries are much less likely to hear from business interests but are most engaged </w:t>
      </w:r>
      <w:r w:rsidR="00042B69">
        <w:rPr>
          <w:sz w:val="22"/>
        </w:rPr>
        <w:t>on health issues and can help to guide WHO engagement out of the mission in Geneva.</w:t>
      </w:r>
    </w:p>
    <w:p w14:paraId="1BBCF5D8" w14:textId="20A9F248" w:rsidR="0044788B" w:rsidRPr="0044788B" w:rsidRDefault="0044788B" w:rsidP="0071595D">
      <w:pPr>
        <w:pStyle w:val="ListParagraph"/>
        <w:numPr>
          <w:ilvl w:val="0"/>
          <w:numId w:val="11"/>
        </w:numPr>
        <w:rPr>
          <w:b/>
          <w:sz w:val="22"/>
        </w:rPr>
      </w:pPr>
      <w:r>
        <w:rPr>
          <w:b/>
          <w:sz w:val="22"/>
        </w:rPr>
        <w:t>Reach out to your country’s mission in Geneva, particularly the senior representative to the WHO</w:t>
      </w:r>
      <w:r w:rsidR="00042B69">
        <w:rPr>
          <w:b/>
          <w:sz w:val="22"/>
        </w:rPr>
        <w:t>/Office of the United Nations</w:t>
      </w:r>
    </w:p>
    <w:p w14:paraId="7C1FFA24" w14:textId="7523B930" w:rsidR="0071595D" w:rsidRDefault="0071595D" w:rsidP="0071595D">
      <w:pPr>
        <w:rPr>
          <w:sz w:val="22"/>
        </w:rPr>
      </w:pPr>
    </w:p>
    <w:p w14:paraId="76844C56" w14:textId="3F260B96" w:rsidR="0071595D" w:rsidRDefault="0071595D" w:rsidP="0071595D">
      <w:pPr>
        <w:rPr>
          <w:sz w:val="22"/>
        </w:rPr>
      </w:pPr>
      <w:r>
        <w:rPr>
          <w:sz w:val="22"/>
        </w:rPr>
        <w:t>You can also:</w:t>
      </w:r>
    </w:p>
    <w:p w14:paraId="34BE831E" w14:textId="7DBD18EA" w:rsidR="0071595D" w:rsidRDefault="0071595D" w:rsidP="0071595D">
      <w:pPr>
        <w:pStyle w:val="ListParagraph"/>
        <w:numPr>
          <w:ilvl w:val="0"/>
          <w:numId w:val="11"/>
        </w:numPr>
        <w:rPr>
          <w:sz w:val="22"/>
        </w:rPr>
      </w:pPr>
      <w:r w:rsidRPr="00042B69">
        <w:rPr>
          <w:b/>
          <w:sz w:val="22"/>
        </w:rPr>
        <w:t>Engage</w:t>
      </w:r>
      <w:r w:rsidR="00042B69">
        <w:rPr>
          <w:b/>
          <w:sz w:val="22"/>
        </w:rPr>
        <w:t>/</w:t>
      </w:r>
      <w:r w:rsidRPr="00042B69">
        <w:rPr>
          <w:b/>
          <w:sz w:val="22"/>
        </w:rPr>
        <w:t xml:space="preserve">coordinate with other </w:t>
      </w:r>
      <w:r w:rsidR="00042B69" w:rsidRPr="00042B69">
        <w:rPr>
          <w:b/>
          <w:sz w:val="22"/>
        </w:rPr>
        <w:t>business</w:t>
      </w:r>
      <w:r w:rsidRPr="00042B69">
        <w:rPr>
          <w:b/>
          <w:sz w:val="22"/>
        </w:rPr>
        <w:t xml:space="preserve"> groups </w:t>
      </w:r>
      <w:r w:rsidR="00042B69" w:rsidRPr="00042B69">
        <w:rPr>
          <w:b/>
          <w:sz w:val="22"/>
        </w:rPr>
        <w:t>in your country</w:t>
      </w:r>
      <w:r w:rsidR="00042B69">
        <w:rPr>
          <w:sz w:val="22"/>
        </w:rPr>
        <w:t xml:space="preserve"> </w:t>
      </w:r>
      <w:r>
        <w:rPr>
          <w:sz w:val="22"/>
        </w:rPr>
        <w:t>that may be grappling with similar issues</w:t>
      </w:r>
      <w:r w:rsidR="00042B69">
        <w:rPr>
          <w:sz w:val="22"/>
        </w:rPr>
        <w:t>.  (The NAM may be able to help with those efforts.)</w:t>
      </w:r>
    </w:p>
    <w:p w14:paraId="0129961E" w14:textId="243151AF" w:rsidR="0044788B" w:rsidRDefault="00042B69" w:rsidP="0071595D">
      <w:pPr>
        <w:pStyle w:val="ListParagraph"/>
        <w:numPr>
          <w:ilvl w:val="0"/>
          <w:numId w:val="11"/>
        </w:numPr>
        <w:rPr>
          <w:sz w:val="22"/>
        </w:rPr>
      </w:pPr>
      <w:r w:rsidRPr="00042B69">
        <w:rPr>
          <w:b/>
          <w:sz w:val="22"/>
        </w:rPr>
        <w:t xml:space="preserve">Engage/coordinate with counterpart </w:t>
      </w:r>
      <w:r>
        <w:rPr>
          <w:b/>
          <w:sz w:val="22"/>
        </w:rPr>
        <w:t>business groups</w:t>
      </w:r>
      <w:r w:rsidRPr="00042B69">
        <w:rPr>
          <w:b/>
          <w:sz w:val="22"/>
        </w:rPr>
        <w:t xml:space="preserve"> in other countries</w:t>
      </w:r>
      <w:r>
        <w:rPr>
          <w:sz w:val="22"/>
        </w:rPr>
        <w:t xml:space="preserve"> to encourage them to get similarly engaged</w:t>
      </w:r>
    </w:p>
    <w:p w14:paraId="697073B8" w14:textId="31974F96" w:rsidR="0071595D" w:rsidRDefault="0071595D" w:rsidP="0071595D">
      <w:pPr>
        <w:rPr>
          <w:sz w:val="22"/>
        </w:rPr>
      </w:pPr>
    </w:p>
    <w:p w14:paraId="2BDC2783" w14:textId="67976A2F" w:rsidR="005A7B4B" w:rsidRDefault="0071595D" w:rsidP="00B116E2">
      <w:pPr>
        <w:rPr>
          <w:b/>
          <w:sz w:val="28"/>
          <w:szCs w:val="28"/>
        </w:rPr>
      </w:pPr>
      <w:r>
        <w:rPr>
          <w:sz w:val="22"/>
        </w:rPr>
        <w:t>If you want to discuss in greater detail other advocacy or communications steps to take, we at the NAM would be happy to discuss in greater detail based on our experience here in the United States.</w:t>
      </w:r>
      <w:r w:rsidR="005A7B4B">
        <w:rPr>
          <w:b/>
          <w:sz w:val="28"/>
          <w:szCs w:val="28"/>
        </w:rPr>
        <w:br w:type="page"/>
      </w:r>
    </w:p>
    <w:p w14:paraId="1BA65E3A" w14:textId="56E1B4A6" w:rsidR="00A509E9" w:rsidRPr="00A509E9" w:rsidRDefault="00A509E9" w:rsidP="00A509E9">
      <w:pPr>
        <w:jc w:val="center"/>
        <w:rPr>
          <w:b/>
          <w:sz w:val="28"/>
          <w:szCs w:val="28"/>
        </w:rPr>
      </w:pPr>
      <w:r>
        <w:rPr>
          <w:b/>
          <w:sz w:val="28"/>
          <w:szCs w:val="28"/>
        </w:rPr>
        <w:lastRenderedPageBreak/>
        <w:t xml:space="preserve">Template </w:t>
      </w:r>
      <w:r w:rsidRPr="00A509E9">
        <w:rPr>
          <w:b/>
          <w:sz w:val="28"/>
          <w:szCs w:val="28"/>
        </w:rPr>
        <w:t>Talking Points</w:t>
      </w:r>
    </w:p>
    <w:p w14:paraId="587990D7" w14:textId="77777777" w:rsidR="00A509E9" w:rsidRDefault="00A509E9" w:rsidP="00A509E9">
      <w:pPr>
        <w:rPr>
          <w:sz w:val="22"/>
        </w:rPr>
      </w:pPr>
    </w:p>
    <w:p w14:paraId="4AB663AB" w14:textId="77777777" w:rsidR="00A509E9" w:rsidRDefault="00A509E9" w:rsidP="00A509E9">
      <w:pPr>
        <w:rPr>
          <w:i/>
          <w:sz w:val="22"/>
          <w:u w:val="single"/>
        </w:rPr>
      </w:pPr>
      <w:r>
        <w:rPr>
          <w:i/>
          <w:sz w:val="22"/>
          <w:u w:val="single"/>
        </w:rPr>
        <w:t>(For an economic and trade ministry)</w:t>
      </w:r>
    </w:p>
    <w:p w14:paraId="521A6F9C" w14:textId="77777777" w:rsidR="00A509E9" w:rsidRDefault="00A509E9" w:rsidP="00A509E9">
      <w:pPr>
        <w:rPr>
          <w:sz w:val="22"/>
        </w:rPr>
      </w:pPr>
    </w:p>
    <w:p w14:paraId="5B38A15E" w14:textId="77777777" w:rsidR="00A509E9" w:rsidRDefault="00A509E9" w:rsidP="00A509E9">
      <w:pPr>
        <w:pStyle w:val="ListParagraph"/>
        <w:numPr>
          <w:ilvl w:val="0"/>
          <w:numId w:val="12"/>
        </w:numPr>
        <w:rPr>
          <w:sz w:val="22"/>
        </w:rPr>
      </w:pPr>
      <w:r>
        <w:rPr>
          <w:sz w:val="22"/>
        </w:rPr>
        <w:t>Our company and industry members are increasingly following activities and initiatives at the World Health Organization, including key agenda items at the upcoming January 24-February 1 meetings of the WHO Executive Board meeting.</w:t>
      </w:r>
    </w:p>
    <w:p w14:paraId="269369FE" w14:textId="77777777" w:rsidR="00A509E9" w:rsidRDefault="00A509E9" w:rsidP="00A509E9">
      <w:pPr>
        <w:pStyle w:val="ListParagraph"/>
        <w:rPr>
          <w:sz w:val="22"/>
        </w:rPr>
      </w:pPr>
    </w:p>
    <w:p w14:paraId="0055FCC2" w14:textId="77777777" w:rsidR="00A509E9" w:rsidRDefault="00A509E9" w:rsidP="00A509E9">
      <w:pPr>
        <w:pStyle w:val="ListParagraph"/>
        <w:numPr>
          <w:ilvl w:val="0"/>
          <w:numId w:val="12"/>
        </w:numPr>
        <w:rPr>
          <w:sz w:val="22"/>
        </w:rPr>
      </w:pPr>
      <w:r>
        <w:rPr>
          <w:sz w:val="22"/>
        </w:rPr>
        <w:t xml:space="preserve">Our members strongly support the WHO’s core mission and role in </w:t>
      </w:r>
      <w:r>
        <w:rPr>
          <w:color w:val="000000"/>
          <w:sz w:val="22"/>
        </w:rPr>
        <w:t>promoting smart, mission-focused global health policies that are based on inclusive, transparent processes.  Private sector actors can and must be critical partners in the success of health programs.</w:t>
      </w:r>
    </w:p>
    <w:p w14:paraId="7DCE5CE3" w14:textId="77777777" w:rsidR="00A509E9" w:rsidRDefault="00A509E9" w:rsidP="00A509E9">
      <w:pPr>
        <w:pStyle w:val="ListParagraph"/>
        <w:numPr>
          <w:ilvl w:val="1"/>
          <w:numId w:val="12"/>
        </w:numPr>
        <w:rPr>
          <w:sz w:val="22"/>
        </w:rPr>
      </w:pPr>
      <w:commentRangeStart w:id="3"/>
      <w:r>
        <w:rPr>
          <w:sz w:val="22"/>
        </w:rPr>
        <w:t>[ADD EXAMPLES, IF DESIRED, OF WAYS IN WHICH YOUR COMPANIES/SECTORS ARE PROMOTING HEALTH GOALS.]</w:t>
      </w:r>
      <w:commentRangeEnd w:id="3"/>
      <w:r w:rsidR="00B116E2">
        <w:rPr>
          <w:rStyle w:val="CommentReference"/>
        </w:rPr>
        <w:commentReference w:id="3"/>
      </w:r>
    </w:p>
    <w:p w14:paraId="70CE7C6E" w14:textId="77777777" w:rsidR="00A509E9" w:rsidRDefault="00A509E9" w:rsidP="00A509E9">
      <w:pPr>
        <w:pStyle w:val="ListParagraph"/>
        <w:rPr>
          <w:sz w:val="22"/>
        </w:rPr>
      </w:pPr>
    </w:p>
    <w:p w14:paraId="3C887BE0" w14:textId="77777777" w:rsidR="00A509E9" w:rsidRDefault="00A509E9" w:rsidP="00A509E9">
      <w:pPr>
        <w:pStyle w:val="ListParagraph"/>
        <w:numPr>
          <w:ilvl w:val="0"/>
          <w:numId w:val="12"/>
        </w:numPr>
        <w:rPr>
          <w:sz w:val="22"/>
        </w:rPr>
      </w:pPr>
      <w:r>
        <w:rPr>
          <w:sz w:val="22"/>
        </w:rPr>
        <w:t xml:space="preserve">Yet a growing number of WHO initiatives are having a negative impact on the competitiveness and exports of [COUNTRY’s] industries such as [INDUSTRY/IES].  </w:t>
      </w:r>
    </w:p>
    <w:p w14:paraId="5B051A36" w14:textId="77777777" w:rsidR="00A509E9" w:rsidRDefault="00A509E9" w:rsidP="00A509E9">
      <w:pPr>
        <w:pStyle w:val="ListParagraph"/>
        <w:numPr>
          <w:ilvl w:val="1"/>
          <w:numId w:val="12"/>
        </w:numPr>
        <w:rPr>
          <w:sz w:val="22"/>
        </w:rPr>
      </w:pPr>
      <w:r>
        <w:rPr>
          <w:sz w:val="22"/>
        </w:rPr>
        <w:t>These initiatives do not stay in Geneva, but actively influence national debate here in [COUNTRY] as well as in critical export markets. In recent years, the WHO has increasingly lobbied national governments to adopt its policy recommendations, making it more important than ever to fix these issues at the WHO first.</w:t>
      </w:r>
    </w:p>
    <w:p w14:paraId="6DCB81A6" w14:textId="77777777" w:rsidR="00A509E9" w:rsidRDefault="00A509E9" w:rsidP="00A509E9">
      <w:pPr>
        <w:rPr>
          <w:sz w:val="22"/>
        </w:rPr>
      </w:pPr>
    </w:p>
    <w:p w14:paraId="3339BD0F" w14:textId="77777777" w:rsidR="00A509E9" w:rsidRDefault="00A509E9" w:rsidP="00A509E9">
      <w:pPr>
        <w:pStyle w:val="ListParagraph"/>
        <w:numPr>
          <w:ilvl w:val="0"/>
          <w:numId w:val="13"/>
        </w:numPr>
        <w:rPr>
          <w:sz w:val="22"/>
        </w:rPr>
      </w:pPr>
      <w:r>
        <w:rPr>
          <w:sz w:val="22"/>
        </w:rPr>
        <w:t>Many of these initiatives include recommended policies that are drafted narrowly, without any discussion of their impact on trade and the economy and without proper transparency, alignment with good regulatory practices, or evidence-based decision-making.</w:t>
      </w:r>
    </w:p>
    <w:p w14:paraId="4916B6C0" w14:textId="77777777" w:rsidR="00A509E9" w:rsidRDefault="00A509E9" w:rsidP="00A509E9">
      <w:pPr>
        <w:pStyle w:val="ListParagraph"/>
        <w:rPr>
          <w:sz w:val="22"/>
        </w:rPr>
      </w:pPr>
    </w:p>
    <w:p w14:paraId="076DB67A" w14:textId="77777777" w:rsidR="00A509E9" w:rsidRDefault="00A509E9" w:rsidP="00A509E9">
      <w:pPr>
        <w:pStyle w:val="ListParagraph"/>
        <w:numPr>
          <w:ilvl w:val="0"/>
          <w:numId w:val="12"/>
        </w:numPr>
        <w:rPr>
          <w:sz w:val="22"/>
        </w:rPr>
      </w:pPr>
      <w:r>
        <w:rPr>
          <w:sz w:val="22"/>
        </w:rPr>
        <w:t>Moreover, a disturbing number of these initiatives dismiss contributions from critical stakeholders, including private-sector actors and even, at times, member states.</w:t>
      </w:r>
    </w:p>
    <w:p w14:paraId="16FE07D1" w14:textId="34028BEA" w:rsidR="00A509E9" w:rsidRDefault="00A509E9" w:rsidP="00A509E9">
      <w:pPr>
        <w:pStyle w:val="ListParagraph"/>
        <w:numPr>
          <w:ilvl w:val="1"/>
          <w:numId w:val="12"/>
        </w:numPr>
        <w:rPr>
          <w:sz w:val="22"/>
        </w:rPr>
      </w:pPr>
      <w:r>
        <w:rPr>
          <w:sz w:val="22"/>
        </w:rPr>
        <w:t xml:space="preserve">The WHO’s 2016 Framework on Engagement with Non-State Actors (FENSA) has effectively chilled key areas of public-private engagement, hampering the ability of businesses to engage with policymaking while also depriving the WHO of key areas of expertise and resources to promote public health.  It has also boosted those critics who inappropriately claim that the private sector has an inherent “conflict of interest” and to </w:t>
      </w:r>
      <w:r w:rsidR="000816E4">
        <w:rPr>
          <w:sz w:val="22"/>
        </w:rPr>
        <w:t>undermine</w:t>
      </w:r>
      <w:r>
        <w:rPr>
          <w:sz w:val="22"/>
        </w:rPr>
        <w:t xml:space="preserve"> those who raise </w:t>
      </w:r>
      <w:r w:rsidR="000816E4">
        <w:rPr>
          <w:sz w:val="22"/>
        </w:rPr>
        <w:t>valid economic and</w:t>
      </w:r>
      <w:r>
        <w:rPr>
          <w:sz w:val="22"/>
        </w:rPr>
        <w:t xml:space="preserve"> trade questions as captured by “commercial determinants of health.”</w:t>
      </w:r>
    </w:p>
    <w:p w14:paraId="2A7E97D2" w14:textId="77777777" w:rsidR="00A509E9" w:rsidRDefault="00A509E9" w:rsidP="00A509E9">
      <w:pPr>
        <w:rPr>
          <w:sz w:val="22"/>
        </w:rPr>
      </w:pPr>
    </w:p>
    <w:p w14:paraId="55932449" w14:textId="77777777" w:rsidR="00A509E9" w:rsidRDefault="00A509E9" w:rsidP="00A509E9">
      <w:pPr>
        <w:pStyle w:val="ListParagraph"/>
        <w:numPr>
          <w:ilvl w:val="0"/>
          <w:numId w:val="12"/>
        </w:numPr>
        <w:rPr>
          <w:sz w:val="22"/>
        </w:rPr>
      </w:pPr>
      <w:commentRangeStart w:id="4"/>
      <w:r>
        <w:rPr>
          <w:sz w:val="22"/>
        </w:rPr>
        <w:t>[ADD EXAMPLES RELEVANT TO COUNTRY/SECTOR] (can use language from the broader briefer, with possible examples:</w:t>
      </w:r>
    </w:p>
    <w:p w14:paraId="08E3EBED" w14:textId="77777777" w:rsidR="00A509E9" w:rsidRDefault="00A509E9" w:rsidP="00A509E9">
      <w:pPr>
        <w:pStyle w:val="ListParagraph"/>
        <w:numPr>
          <w:ilvl w:val="1"/>
          <w:numId w:val="12"/>
        </w:numPr>
        <w:rPr>
          <w:sz w:val="22"/>
        </w:rPr>
      </w:pPr>
      <w:r>
        <w:rPr>
          <w:sz w:val="22"/>
        </w:rPr>
        <w:t>Innovation and access to medicines</w:t>
      </w:r>
    </w:p>
    <w:p w14:paraId="2ADE89B0" w14:textId="73D8129E" w:rsidR="00A509E9" w:rsidRDefault="00A509E9" w:rsidP="00A509E9">
      <w:pPr>
        <w:pStyle w:val="ListParagraph"/>
        <w:numPr>
          <w:ilvl w:val="1"/>
          <w:numId w:val="12"/>
        </w:numPr>
        <w:rPr>
          <w:sz w:val="22"/>
        </w:rPr>
      </w:pPr>
      <w:r>
        <w:rPr>
          <w:sz w:val="22"/>
        </w:rPr>
        <w:t>WHO’s “best buy” recommendations for tax policies (food, beverages</w:t>
      </w:r>
      <w:r w:rsidR="00B116E2">
        <w:rPr>
          <w:sz w:val="22"/>
        </w:rPr>
        <w:t>, alcohol</w:t>
      </w:r>
      <w:r>
        <w:rPr>
          <w:sz w:val="22"/>
        </w:rPr>
        <w:t>)</w:t>
      </w:r>
    </w:p>
    <w:p w14:paraId="3654ED52" w14:textId="77777777" w:rsidR="00A509E9" w:rsidRDefault="00A509E9" w:rsidP="00A509E9">
      <w:pPr>
        <w:pStyle w:val="ListParagraph"/>
        <w:numPr>
          <w:ilvl w:val="1"/>
          <w:numId w:val="12"/>
        </w:numPr>
        <w:rPr>
          <w:sz w:val="22"/>
        </w:rPr>
      </w:pPr>
      <w:r>
        <w:rPr>
          <w:sz w:val="22"/>
        </w:rPr>
        <w:t>WHO “best buy” recommendations for expanded marketing restrictions (dairy)</w:t>
      </w:r>
    </w:p>
    <w:p w14:paraId="50E402F7" w14:textId="65A3353A" w:rsidR="00B116E2" w:rsidRDefault="00B116E2" w:rsidP="00A509E9">
      <w:pPr>
        <w:pStyle w:val="ListParagraph"/>
        <w:numPr>
          <w:ilvl w:val="1"/>
          <w:numId w:val="12"/>
        </w:numPr>
        <w:rPr>
          <w:sz w:val="22"/>
        </w:rPr>
      </w:pPr>
      <w:r>
        <w:rPr>
          <w:sz w:val="22"/>
        </w:rPr>
        <w:t>WHO’s ongoing work to update Global Strategy on Reducing Harmful Use of Alcohol (beer/wine/spirits)</w:t>
      </w:r>
    </w:p>
    <w:p w14:paraId="2BCFBC4B" w14:textId="5C072B52" w:rsidR="000816E4" w:rsidRDefault="000816E4" w:rsidP="00A509E9">
      <w:pPr>
        <w:pStyle w:val="ListParagraph"/>
        <w:numPr>
          <w:ilvl w:val="1"/>
          <w:numId w:val="12"/>
        </w:numPr>
        <w:rPr>
          <w:sz w:val="22"/>
        </w:rPr>
      </w:pPr>
      <w:r>
        <w:rPr>
          <w:sz w:val="22"/>
        </w:rPr>
        <w:t>Transparency/engagement with the private sector and the FENSA framework</w:t>
      </w:r>
      <w:commentRangeEnd w:id="4"/>
      <w:r>
        <w:rPr>
          <w:rStyle w:val="CommentReference"/>
        </w:rPr>
        <w:commentReference w:id="4"/>
      </w:r>
    </w:p>
    <w:p w14:paraId="1E71AE3F" w14:textId="77777777" w:rsidR="00A509E9" w:rsidRDefault="00A509E9" w:rsidP="00A509E9">
      <w:pPr>
        <w:rPr>
          <w:sz w:val="22"/>
        </w:rPr>
      </w:pPr>
    </w:p>
    <w:p w14:paraId="0A365B31" w14:textId="77777777" w:rsidR="00A509E9" w:rsidRDefault="00A509E9" w:rsidP="00A509E9">
      <w:pPr>
        <w:pStyle w:val="ListParagraph"/>
        <w:numPr>
          <w:ilvl w:val="0"/>
          <w:numId w:val="12"/>
        </w:numPr>
        <w:rPr>
          <w:sz w:val="22"/>
        </w:rPr>
      </w:pPr>
      <w:r>
        <w:rPr>
          <w:sz w:val="22"/>
        </w:rPr>
        <w:t xml:space="preserve">We urge you to engage robustly with your counterparts in the health ministry [foreign ministry, etc.], both in [CAPITAL] and in Geneva, to raise the negative trade and economic impact caused by these initiatives. We encourage you to work with </w:t>
      </w:r>
      <w:r>
        <w:rPr>
          <w:sz w:val="22"/>
        </w:rPr>
        <w:lastRenderedPageBreak/>
        <w:t>counterparts in other agencies to develop clear negotiating positions that push back on these problematic approaches.</w:t>
      </w:r>
    </w:p>
    <w:p w14:paraId="62551208" w14:textId="77777777" w:rsidR="00A509E9" w:rsidRDefault="00A509E9" w:rsidP="00A509E9">
      <w:pPr>
        <w:pStyle w:val="ListParagraph"/>
        <w:rPr>
          <w:sz w:val="22"/>
        </w:rPr>
      </w:pPr>
    </w:p>
    <w:p w14:paraId="74A1B5B0" w14:textId="77777777" w:rsidR="00A509E9" w:rsidRDefault="00A509E9" w:rsidP="00A509E9">
      <w:pPr>
        <w:pStyle w:val="ListParagraph"/>
        <w:numPr>
          <w:ilvl w:val="0"/>
          <w:numId w:val="12"/>
        </w:numPr>
        <w:rPr>
          <w:sz w:val="22"/>
        </w:rPr>
      </w:pPr>
      <w:r>
        <w:rPr>
          <w:sz w:val="22"/>
        </w:rPr>
        <w:t>We also encourage [COUNTRY’s] government to work with other like-minded countries to advance common health goals while promoting transparency, accountability and mission focus at the WHO.</w:t>
      </w:r>
    </w:p>
    <w:p w14:paraId="7AC419A5" w14:textId="77777777" w:rsidR="00A509E9" w:rsidRDefault="00A509E9" w:rsidP="00A509E9">
      <w:pPr>
        <w:rPr>
          <w:sz w:val="22"/>
        </w:rPr>
      </w:pPr>
    </w:p>
    <w:p w14:paraId="399C782F" w14:textId="77777777" w:rsidR="00A509E9" w:rsidRDefault="00A509E9" w:rsidP="00A509E9">
      <w:pPr>
        <w:rPr>
          <w:i/>
          <w:sz w:val="22"/>
          <w:u w:val="single"/>
        </w:rPr>
      </w:pPr>
      <w:r>
        <w:rPr>
          <w:i/>
          <w:sz w:val="22"/>
          <w:u w:val="single"/>
        </w:rPr>
        <w:t>(For a health ministry)</w:t>
      </w:r>
    </w:p>
    <w:p w14:paraId="42BB853B" w14:textId="77777777" w:rsidR="00A509E9" w:rsidRDefault="00A509E9" w:rsidP="00A509E9">
      <w:pPr>
        <w:rPr>
          <w:sz w:val="22"/>
        </w:rPr>
      </w:pPr>
    </w:p>
    <w:p w14:paraId="2EF30053" w14:textId="77777777" w:rsidR="00A509E9" w:rsidRDefault="00A509E9" w:rsidP="00A509E9">
      <w:pPr>
        <w:pStyle w:val="ListParagraph"/>
        <w:numPr>
          <w:ilvl w:val="0"/>
          <w:numId w:val="12"/>
        </w:numPr>
        <w:rPr>
          <w:sz w:val="22"/>
        </w:rPr>
      </w:pPr>
      <w:r>
        <w:rPr>
          <w:sz w:val="22"/>
        </w:rPr>
        <w:t>Our company and industry members are increasingly paying attention to activities and initiatives at the World Health Organization, including key agenda items at the upcoming January 24-February 1 meetings of the WHO Executive Board meeting.</w:t>
      </w:r>
    </w:p>
    <w:p w14:paraId="3B604C77" w14:textId="77777777" w:rsidR="00A509E9" w:rsidRDefault="00A509E9" w:rsidP="00A509E9">
      <w:pPr>
        <w:pStyle w:val="ListParagraph"/>
        <w:rPr>
          <w:sz w:val="22"/>
        </w:rPr>
      </w:pPr>
    </w:p>
    <w:p w14:paraId="786242AD" w14:textId="4911ED5B" w:rsidR="00A509E9" w:rsidRDefault="00A509E9" w:rsidP="00A509E9">
      <w:pPr>
        <w:pStyle w:val="ListParagraph"/>
        <w:numPr>
          <w:ilvl w:val="0"/>
          <w:numId w:val="12"/>
        </w:numPr>
        <w:rPr>
          <w:sz w:val="22"/>
        </w:rPr>
      </w:pPr>
      <w:r>
        <w:rPr>
          <w:sz w:val="22"/>
        </w:rPr>
        <w:t xml:space="preserve">Our members strongly support the WHO’s core mission and role in </w:t>
      </w:r>
      <w:r>
        <w:rPr>
          <w:color w:val="000000"/>
          <w:sz w:val="22"/>
        </w:rPr>
        <w:t xml:space="preserve">promoting sustainable, </w:t>
      </w:r>
      <w:r w:rsidR="000816E4">
        <w:rPr>
          <w:color w:val="000000"/>
          <w:sz w:val="22"/>
        </w:rPr>
        <w:t>effective</w:t>
      </w:r>
      <w:r>
        <w:rPr>
          <w:color w:val="000000"/>
          <w:sz w:val="22"/>
        </w:rPr>
        <w:t xml:space="preserve"> global health policies that are based on inclusive, transparent processes and engagement with all stakeholders.  Private sector actors can and must be critical partners in the success of health programs</w:t>
      </w:r>
      <w:r w:rsidR="000816E4">
        <w:rPr>
          <w:color w:val="000000"/>
          <w:sz w:val="22"/>
        </w:rPr>
        <w:t>, nationally and internationally</w:t>
      </w:r>
      <w:r>
        <w:rPr>
          <w:color w:val="000000"/>
          <w:sz w:val="22"/>
        </w:rPr>
        <w:t>.</w:t>
      </w:r>
    </w:p>
    <w:p w14:paraId="6CA4D1B1" w14:textId="77777777" w:rsidR="00A509E9" w:rsidRDefault="00A509E9" w:rsidP="00A509E9">
      <w:pPr>
        <w:pStyle w:val="ListParagraph"/>
        <w:numPr>
          <w:ilvl w:val="1"/>
          <w:numId w:val="12"/>
        </w:numPr>
        <w:rPr>
          <w:sz w:val="22"/>
        </w:rPr>
      </w:pPr>
      <w:commentRangeStart w:id="5"/>
      <w:r>
        <w:rPr>
          <w:sz w:val="22"/>
        </w:rPr>
        <w:t>[ADD EXAMPLES, IF POSSIBLE, OF WAYS IN WHICH YOUR COMPANIES/SECTORS ARE PROMOTING HEALTH GOALS.]</w:t>
      </w:r>
      <w:commentRangeEnd w:id="5"/>
      <w:r w:rsidR="000816E4">
        <w:rPr>
          <w:rStyle w:val="CommentReference"/>
        </w:rPr>
        <w:commentReference w:id="5"/>
      </w:r>
    </w:p>
    <w:p w14:paraId="0A0D7468" w14:textId="77777777" w:rsidR="00A509E9" w:rsidRDefault="00A509E9" w:rsidP="00A509E9">
      <w:pPr>
        <w:pStyle w:val="ListParagraph"/>
        <w:rPr>
          <w:sz w:val="22"/>
        </w:rPr>
      </w:pPr>
    </w:p>
    <w:p w14:paraId="4C8EAEBA" w14:textId="77777777" w:rsidR="000816E4" w:rsidRDefault="000816E4" w:rsidP="000816E4">
      <w:pPr>
        <w:pStyle w:val="ListParagraph"/>
        <w:numPr>
          <w:ilvl w:val="0"/>
          <w:numId w:val="12"/>
        </w:numPr>
        <w:rPr>
          <w:sz w:val="22"/>
        </w:rPr>
      </w:pPr>
      <w:r w:rsidRPr="000816E4">
        <w:rPr>
          <w:sz w:val="22"/>
        </w:rPr>
        <w:t xml:space="preserve">Yet we are concerned about the WHO’s expanding pool of WHO initiatives and policy recommendations. We appreciate the WHO’s efforts to respond to growing global health </w:t>
      </w:r>
      <w:proofErr w:type="gramStart"/>
      <w:r w:rsidRPr="000816E4">
        <w:rPr>
          <w:sz w:val="22"/>
        </w:rPr>
        <w:t>challenges, and</w:t>
      </w:r>
      <w:proofErr w:type="gramEnd"/>
      <w:r w:rsidRPr="000816E4">
        <w:rPr>
          <w:sz w:val="22"/>
        </w:rPr>
        <w:t xml:space="preserve"> want it to be effective in that role. </w:t>
      </w:r>
    </w:p>
    <w:p w14:paraId="497879B4" w14:textId="77777777" w:rsidR="000816E4" w:rsidRDefault="000816E4" w:rsidP="000816E4">
      <w:pPr>
        <w:pStyle w:val="ListParagraph"/>
        <w:numPr>
          <w:ilvl w:val="0"/>
          <w:numId w:val="12"/>
        </w:numPr>
        <w:rPr>
          <w:sz w:val="22"/>
        </w:rPr>
      </w:pPr>
    </w:p>
    <w:p w14:paraId="321D4CCC" w14:textId="18D1F388" w:rsidR="000816E4" w:rsidRDefault="000816E4" w:rsidP="000816E4">
      <w:pPr>
        <w:pStyle w:val="ListParagraph"/>
        <w:numPr>
          <w:ilvl w:val="0"/>
          <w:numId w:val="12"/>
        </w:numPr>
        <w:rPr>
          <w:sz w:val="22"/>
        </w:rPr>
      </w:pPr>
      <w:r w:rsidRPr="000816E4">
        <w:rPr>
          <w:sz w:val="22"/>
        </w:rPr>
        <w:t>Yet it is increasingly challenging to understand how the WHO prioritizes these many workstreams, and its simultaneous work on a growing mix of activities (from climate change to nuclear energy) has stretched the organization’s focus and resources, thus limiting its effectiveness on any one issue.</w:t>
      </w:r>
    </w:p>
    <w:p w14:paraId="29180EEB" w14:textId="77777777" w:rsidR="000816E4" w:rsidRPr="000816E4" w:rsidRDefault="000816E4" w:rsidP="000816E4">
      <w:pPr>
        <w:pStyle w:val="ListParagraph"/>
        <w:rPr>
          <w:sz w:val="22"/>
        </w:rPr>
      </w:pPr>
    </w:p>
    <w:p w14:paraId="4D40F79B" w14:textId="1F38F6F0" w:rsidR="000816E4" w:rsidRPr="00DA28D8" w:rsidRDefault="000816E4" w:rsidP="00A8210F">
      <w:pPr>
        <w:pStyle w:val="ListParagraph"/>
        <w:numPr>
          <w:ilvl w:val="0"/>
          <w:numId w:val="12"/>
        </w:numPr>
        <w:rPr>
          <w:sz w:val="22"/>
        </w:rPr>
      </w:pPr>
      <w:r w:rsidRPr="00DA28D8">
        <w:rPr>
          <w:sz w:val="22"/>
        </w:rPr>
        <w:t xml:space="preserve">Additionally, some WHO programs, resolutions and policy recommendations are) are being drafted without sufficient transparency, alignment with good regulatory practices, or sufficient proof that they will be effective in achieving their purported health goals. As with other areas of regulation, such policy recommendations must undergo robust vetting process, based on open scientific evidence; a review of the impact on public health, the economy and the environment; and a robust cost-benefit analysis. </w:t>
      </w:r>
      <w:r w:rsidR="00DA28D8" w:rsidRPr="00DA28D8">
        <w:rPr>
          <w:sz w:val="22"/>
        </w:rPr>
        <w:t xml:space="preserve">Many of the proposed initiatives we see </w:t>
      </w:r>
      <w:r w:rsidR="00DA28D8">
        <w:rPr>
          <w:sz w:val="22"/>
        </w:rPr>
        <w:t xml:space="preserve">would have a clear </w:t>
      </w:r>
      <w:r w:rsidRPr="00DA28D8">
        <w:rPr>
          <w:sz w:val="22"/>
        </w:rPr>
        <w:t>negative impact on [COUNTRY’s] trade and competitiveness</w:t>
      </w:r>
      <w:r w:rsidR="00DA28D8">
        <w:rPr>
          <w:sz w:val="22"/>
        </w:rPr>
        <w:t xml:space="preserve"> that must be considered</w:t>
      </w:r>
      <w:r w:rsidRPr="00DA28D8">
        <w:rPr>
          <w:sz w:val="22"/>
        </w:rPr>
        <w:t>.</w:t>
      </w:r>
    </w:p>
    <w:p w14:paraId="1472A980" w14:textId="77777777" w:rsidR="000816E4" w:rsidRDefault="000816E4" w:rsidP="000816E4">
      <w:pPr>
        <w:pStyle w:val="ListParagraph"/>
        <w:rPr>
          <w:sz w:val="22"/>
        </w:rPr>
      </w:pPr>
    </w:p>
    <w:p w14:paraId="0DDD5E35" w14:textId="77777777" w:rsidR="000816E4" w:rsidRDefault="000816E4" w:rsidP="000816E4">
      <w:pPr>
        <w:pStyle w:val="ListParagraph"/>
        <w:numPr>
          <w:ilvl w:val="0"/>
          <w:numId w:val="12"/>
        </w:numPr>
        <w:rPr>
          <w:sz w:val="22"/>
        </w:rPr>
      </w:pPr>
      <w:r>
        <w:rPr>
          <w:sz w:val="22"/>
        </w:rPr>
        <w:t>Finally, some of these initiatives do not reflect the type of inclusive approach [that we take in COUNTRY], including engagement with all stakeholders – private sector, civil society, academic experts, and others to draft policies based on all views.  Instead, we see a growing number of initiatives that do not appear to reflect the expertise of critical stakeholders, including private-sector actors and in some cases even member states.</w:t>
      </w:r>
    </w:p>
    <w:p w14:paraId="0073CE68" w14:textId="77777777" w:rsidR="000816E4" w:rsidRDefault="000816E4" w:rsidP="000816E4">
      <w:pPr>
        <w:pStyle w:val="ListParagraph"/>
        <w:numPr>
          <w:ilvl w:val="1"/>
          <w:numId w:val="12"/>
        </w:numPr>
        <w:rPr>
          <w:sz w:val="22"/>
        </w:rPr>
      </w:pPr>
      <w:r>
        <w:rPr>
          <w:sz w:val="22"/>
        </w:rPr>
        <w:t>The WHO’s 2016 Framework on Engagement with Non-State Actors (FENSA) has chilled key areas of public-private engagement, hampering the ability of businesses to engage with policymaking while also depriving the WHO of key areas of expertise and resources to promote public health.</w:t>
      </w:r>
    </w:p>
    <w:p w14:paraId="2885E0AE" w14:textId="3850F0D7" w:rsidR="000816E4" w:rsidRDefault="000816E4" w:rsidP="000816E4">
      <w:pPr>
        <w:rPr>
          <w:sz w:val="22"/>
        </w:rPr>
      </w:pPr>
    </w:p>
    <w:p w14:paraId="74ED802F" w14:textId="77777777" w:rsidR="00A509E9" w:rsidRDefault="00A509E9" w:rsidP="00A509E9">
      <w:pPr>
        <w:pStyle w:val="ListParagraph"/>
        <w:numPr>
          <w:ilvl w:val="0"/>
          <w:numId w:val="12"/>
        </w:numPr>
        <w:rPr>
          <w:sz w:val="22"/>
        </w:rPr>
      </w:pPr>
      <w:commentRangeStart w:id="6"/>
      <w:r>
        <w:rPr>
          <w:sz w:val="22"/>
        </w:rPr>
        <w:t>[ADD EXAMPLES RELEVANT TO COUNTRY/SECTOR] (can use language from the broader briefer, with possible examples:</w:t>
      </w:r>
    </w:p>
    <w:p w14:paraId="565B8103" w14:textId="77777777" w:rsidR="00A509E9" w:rsidRDefault="00A509E9" w:rsidP="00A509E9">
      <w:pPr>
        <w:pStyle w:val="ListParagraph"/>
        <w:numPr>
          <w:ilvl w:val="1"/>
          <w:numId w:val="12"/>
        </w:numPr>
        <w:rPr>
          <w:sz w:val="22"/>
        </w:rPr>
      </w:pPr>
      <w:r>
        <w:rPr>
          <w:sz w:val="22"/>
        </w:rPr>
        <w:lastRenderedPageBreak/>
        <w:t>Innovation and access to medicines</w:t>
      </w:r>
    </w:p>
    <w:p w14:paraId="0F712656" w14:textId="77777777" w:rsidR="00A509E9" w:rsidRDefault="00A509E9" w:rsidP="00A509E9">
      <w:pPr>
        <w:pStyle w:val="ListParagraph"/>
        <w:numPr>
          <w:ilvl w:val="1"/>
          <w:numId w:val="12"/>
        </w:numPr>
        <w:rPr>
          <w:sz w:val="22"/>
        </w:rPr>
      </w:pPr>
      <w:r>
        <w:rPr>
          <w:sz w:val="22"/>
        </w:rPr>
        <w:t>WHO’s “best buy” recommendations for tax policies (food, beverages)</w:t>
      </w:r>
    </w:p>
    <w:p w14:paraId="02D86758" w14:textId="77777777" w:rsidR="00A509E9" w:rsidRDefault="00A509E9" w:rsidP="00A509E9">
      <w:pPr>
        <w:pStyle w:val="ListParagraph"/>
        <w:numPr>
          <w:ilvl w:val="1"/>
          <w:numId w:val="12"/>
        </w:numPr>
        <w:rPr>
          <w:sz w:val="22"/>
        </w:rPr>
      </w:pPr>
      <w:r>
        <w:rPr>
          <w:sz w:val="22"/>
        </w:rPr>
        <w:t>WHO “best buy” recommendations for expanded marketing restrictions (dairy)</w:t>
      </w:r>
    </w:p>
    <w:p w14:paraId="430153FD" w14:textId="77777777" w:rsidR="00A509E9" w:rsidRDefault="00A509E9" w:rsidP="00A509E9">
      <w:pPr>
        <w:pStyle w:val="ListParagraph"/>
        <w:numPr>
          <w:ilvl w:val="1"/>
          <w:numId w:val="12"/>
        </w:numPr>
        <w:rPr>
          <w:sz w:val="22"/>
        </w:rPr>
      </w:pPr>
      <w:r>
        <w:rPr>
          <w:sz w:val="22"/>
        </w:rPr>
        <w:t>Conflicts of interest in nutrition programs</w:t>
      </w:r>
    </w:p>
    <w:p w14:paraId="24FFF385" w14:textId="77777777" w:rsidR="00A509E9" w:rsidRDefault="00A509E9" w:rsidP="00A509E9">
      <w:pPr>
        <w:pStyle w:val="ListParagraph"/>
        <w:numPr>
          <w:ilvl w:val="1"/>
          <w:numId w:val="12"/>
        </w:numPr>
        <w:rPr>
          <w:sz w:val="22"/>
        </w:rPr>
      </w:pPr>
      <w:r>
        <w:rPr>
          <w:sz w:val="22"/>
        </w:rPr>
        <w:t>WHO designation of video game addition as a mental illness</w:t>
      </w:r>
      <w:commentRangeEnd w:id="6"/>
      <w:r w:rsidR="000816E4">
        <w:rPr>
          <w:rStyle w:val="CommentReference"/>
        </w:rPr>
        <w:commentReference w:id="6"/>
      </w:r>
    </w:p>
    <w:p w14:paraId="0A2E014C" w14:textId="77777777" w:rsidR="00A509E9" w:rsidRDefault="00A509E9" w:rsidP="00A509E9">
      <w:pPr>
        <w:rPr>
          <w:sz w:val="22"/>
        </w:rPr>
      </w:pPr>
    </w:p>
    <w:p w14:paraId="21F47B21" w14:textId="77777777" w:rsidR="00A509E9" w:rsidRDefault="00A509E9" w:rsidP="00A509E9">
      <w:pPr>
        <w:pStyle w:val="ListParagraph"/>
        <w:numPr>
          <w:ilvl w:val="0"/>
          <w:numId w:val="12"/>
        </w:numPr>
        <w:rPr>
          <w:sz w:val="22"/>
        </w:rPr>
      </w:pPr>
      <w:r>
        <w:rPr>
          <w:sz w:val="22"/>
        </w:rPr>
        <w:t>We urge you to work closely with your counterparts in other ministries, both in [CAPITAL] and in Geneva, to develop clear, strategic negotiating positions that reflect [COUNTRY’s] comprehensive interests and the full range of benefits and costs of WHO-proposed policies. We encourage you to promote constructive initiative and approaches, while also pushing back on problematic language and initiatives [like CHOSEN EXAMPLE].</w:t>
      </w:r>
    </w:p>
    <w:p w14:paraId="3B247582" w14:textId="77777777" w:rsidR="00A509E9" w:rsidRDefault="00A509E9" w:rsidP="00A509E9">
      <w:pPr>
        <w:pStyle w:val="ListParagraph"/>
        <w:rPr>
          <w:sz w:val="22"/>
        </w:rPr>
      </w:pPr>
    </w:p>
    <w:p w14:paraId="00BCD1E0" w14:textId="7218F92E" w:rsidR="00A509E9" w:rsidRDefault="00A509E9" w:rsidP="00A509E9">
      <w:pPr>
        <w:pStyle w:val="ListParagraph"/>
        <w:numPr>
          <w:ilvl w:val="0"/>
          <w:numId w:val="12"/>
        </w:numPr>
        <w:rPr>
          <w:sz w:val="22"/>
        </w:rPr>
      </w:pPr>
      <w:r>
        <w:rPr>
          <w:sz w:val="22"/>
        </w:rPr>
        <w:t xml:space="preserve">We also </w:t>
      </w:r>
      <w:r w:rsidR="00DA28D8">
        <w:rPr>
          <w:sz w:val="22"/>
        </w:rPr>
        <w:t>support</w:t>
      </w:r>
      <w:r>
        <w:rPr>
          <w:sz w:val="22"/>
        </w:rPr>
        <w:t xml:space="preserve"> [COUNTRY’s] government </w:t>
      </w:r>
      <w:r w:rsidR="00DA28D8">
        <w:rPr>
          <w:sz w:val="22"/>
        </w:rPr>
        <w:t xml:space="preserve">efforts </w:t>
      </w:r>
      <w:r>
        <w:rPr>
          <w:sz w:val="22"/>
        </w:rPr>
        <w:t>to work with other like-minded countries to advance common health goals while promoting transparency, accountability and mission focus at the WHO.</w:t>
      </w:r>
    </w:p>
    <w:p w14:paraId="66CC2316" w14:textId="77777777" w:rsidR="00A509E9" w:rsidRDefault="00A509E9" w:rsidP="00A509E9">
      <w:pPr>
        <w:pStyle w:val="ListParagraph"/>
        <w:rPr>
          <w:sz w:val="22"/>
        </w:rPr>
      </w:pPr>
    </w:p>
    <w:p w14:paraId="09712C04" w14:textId="78008580" w:rsidR="00515C3A" w:rsidRPr="006A1B2A" w:rsidRDefault="00A509E9" w:rsidP="0071595D">
      <w:pPr>
        <w:pStyle w:val="ListParagraph"/>
        <w:numPr>
          <w:ilvl w:val="0"/>
          <w:numId w:val="12"/>
        </w:numPr>
        <w:rPr>
          <w:sz w:val="22"/>
        </w:rPr>
      </w:pPr>
      <w:r>
        <w:rPr>
          <w:sz w:val="22"/>
        </w:rPr>
        <w:t>We stand ready to work with you as an important partner in promoting health, both in [COUNTRY] and globally.</w:t>
      </w:r>
    </w:p>
    <w:sectPr w:rsidR="00515C3A" w:rsidRPr="006A1B2A">
      <w:head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yan Ong" w:date="2020-01-28T15:59:00Z" w:initials="RO">
    <w:p w14:paraId="4B69CEA3" w14:textId="29658711" w:rsidR="00B116E2" w:rsidRDefault="00B116E2">
      <w:pPr>
        <w:pStyle w:val="CommentText"/>
      </w:pPr>
      <w:r>
        <w:rPr>
          <w:rStyle w:val="CommentReference"/>
        </w:rPr>
        <w:annotationRef/>
      </w:r>
      <w:r>
        <w:t>The NAM has a growing database of some of these examples that we can help to provide – and would be happy to hear from groups about specific positive examples in this area.</w:t>
      </w:r>
    </w:p>
  </w:comment>
  <w:comment w:id="4" w:author="Ryan Ong" w:date="2020-01-28T16:01:00Z" w:initials="RO">
    <w:p w14:paraId="23088303" w14:textId="7DEF27DA" w:rsidR="000816E4" w:rsidRDefault="000816E4">
      <w:pPr>
        <w:pStyle w:val="CommentText"/>
      </w:pPr>
      <w:r>
        <w:rPr>
          <w:rStyle w:val="CommentReference"/>
        </w:rPr>
        <w:annotationRef/>
      </w:r>
      <w:r>
        <w:t>Pick and choose based on group concerns/industry representation.</w:t>
      </w:r>
    </w:p>
  </w:comment>
  <w:comment w:id="5" w:author="Ryan Ong" w:date="2020-01-28T16:02:00Z" w:initials="RO">
    <w:p w14:paraId="49A07014" w14:textId="107EA42F" w:rsidR="000816E4" w:rsidRDefault="000816E4">
      <w:pPr>
        <w:pStyle w:val="CommentText"/>
      </w:pPr>
      <w:r>
        <w:rPr>
          <w:rStyle w:val="CommentReference"/>
        </w:rPr>
        <w:annotationRef/>
      </w:r>
      <w:r>
        <w:t>See above.</w:t>
      </w:r>
    </w:p>
  </w:comment>
  <w:comment w:id="6" w:author="Ryan Ong" w:date="2020-01-28T16:03:00Z" w:initials="RO">
    <w:p w14:paraId="1DBFF292" w14:textId="34F95A37" w:rsidR="000816E4" w:rsidRDefault="000816E4">
      <w:pPr>
        <w:pStyle w:val="CommentText"/>
      </w:pPr>
      <w:r>
        <w:rPr>
          <w:rStyle w:val="CommentReference"/>
        </w:rPr>
        <w:annotationRef/>
      </w:r>
      <w:r>
        <w:t>See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69CEA3" w15:done="0"/>
  <w15:commentEx w15:paraId="23088303" w15:done="0"/>
  <w15:commentEx w15:paraId="49A07014" w15:done="0"/>
  <w15:commentEx w15:paraId="1DBFF2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9CEA3" w16cid:durableId="21DAD8E1"/>
  <w16cid:commentId w16cid:paraId="23088303" w16cid:durableId="21DAD967"/>
  <w16cid:commentId w16cid:paraId="49A07014" w16cid:durableId="21DAD983"/>
  <w16cid:commentId w16cid:paraId="1DBFF292" w16cid:durableId="21DAD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E8FC" w14:textId="77777777" w:rsidR="003F299C" w:rsidRDefault="003F299C" w:rsidP="007F1334">
      <w:r>
        <w:separator/>
      </w:r>
    </w:p>
  </w:endnote>
  <w:endnote w:type="continuationSeparator" w:id="0">
    <w:p w14:paraId="6AF6D7CE" w14:textId="77777777" w:rsidR="003F299C" w:rsidRDefault="003F299C" w:rsidP="007F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7AC0" w14:textId="77777777" w:rsidR="003F299C" w:rsidRDefault="003F299C" w:rsidP="007F1334">
      <w:r>
        <w:separator/>
      </w:r>
    </w:p>
  </w:footnote>
  <w:footnote w:type="continuationSeparator" w:id="0">
    <w:p w14:paraId="7448E898" w14:textId="77777777" w:rsidR="003F299C" w:rsidRDefault="003F299C" w:rsidP="007F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0064" w14:textId="5D14227E" w:rsidR="00515C3A" w:rsidRPr="00515C3A" w:rsidRDefault="00515C3A" w:rsidP="00515C3A">
    <w:pPr>
      <w:pStyle w:val="Header"/>
      <w:jc w:val="center"/>
      <w:rPr>
        <w:i/>
        <w:iCs/>
        <w:color w:val="FF0000"/>
      </w:rPr>
    </w:pPr>
    <w:r w:rsidRPr="00515C3A">
      <w:rPr>
        <w:i/>
        <w:iCs/>
        <w:color w:val="FF0000"/>
      </w:rPr>
      <w:t>CONFIDENTIAL: NOT FOR DISTRIBUTION OR EXTERNAL CIRCULATION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496"/>
    <w:multiLevelType w:val="multilevel"/>
    <w:tmpl w:val="E17AA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B543E0"/>
    <w:multiLevelType w:val="hybridMultilevel"/>
    <w:tmpl w:val="674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0242F"/>
    <w:multiLevelType w:val="hybridMultilevel"/>
    <w:tmpl w:val="B2E6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B0F73"/>
    <w:multiLevelType w:val="hybridMultilevel"/>
    <w:tmpl w:val="E16A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32943"/>
    <w:multiLevelType w:val="hybridMultilevel"/>
    <w:tmpl w:val="5190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D7F34"/>
    <w:multiLevelType w:val="hybridMultilevel"/>
    <w:tmpl w:val="9750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C0984"/>
    <w:multiLevelType w:val="hybridMultilevel"/>
    <w:tmpl w:val="9EDC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F2A3B"/>
    <w:multiLevelType w:val="hybridMultilevel"/>
    <w:tmpl w:val="B60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43555"/>
    <w:multiLevelType w:val="hybridMultilevel"/>
    <w:tmpl w:val="BA8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E5647"/>
    <w:multiLevelType w:val="hybridMultilevel"/>
    <w:tmpl w:val="56F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05542"/>
    <w:multiLevelType w:val="hybridMultilevel"/>
    <w:tmpl w:val="355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33FFA"/>
    <w:multiLevelType w:val="multilevel"/>
    <w:tmpl w:val="44001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860258"/>
    <w:multiLevelType w:val="hybridMultilevel"/>
    <w:tmpl w:val="4B0A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60A4D"/>
    <w:multiLevelType w:val="hybridMultilevel"/>
    <w:tmpl w:val="A1D4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3"/>
  </w:num>
  <w:num w:numId="5">
    <w:abstractNumId w:val="4"/>
  </w:num>
  <w:num w:numId="6">
    <w:abstractNumId w:val="0"/>
  </w:num>
  <w:num w:numId="7">
    <w:abstractNumId w:val="1"/>
  </w:num>
  <w:num w:numId="8">
    <w:abstractNumId w:val="10"/>
  </w:num>
  <w:num w:numId="9">
    <w:abstractNumId w:val="6"/>
  </w:num>
  <w:num w:numId="10">
    <w:abstractNumId w:val="2"/>
  </w:num>
  <w:num w:numId="11">
    <w:abstractNumId w:val="12"/>
  </w:num>
  <w:num w:numId="12">
    <w:abstractNumId w:val="13"/>
  </w:num>
  <w:num w:numId="13">
    <w:abstractNumId w:val="5"/>
  </w:num>
  <w:num w:numId="14">
    <w:abstractNumId w:val="9"/>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Ong">
    <w15:presenceInfo w15:providerId="AD" w15:userId="S::ROng@nam.org::4f548455-4bed-4b0c-aaba-ebdbf8d85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C7"/>
    <w:rsid w:val="00042B69"/>
    <w:rsid w:val="00042CC7"/>
    <w:rsid w:val="00045CC1"/>
    <w:rsid w:val="000816E4"/>
    <w:rsid w:val="0009704E"/>
    <w:rsid w:val="00171319"/>
    <w:rsid w:val="00201BA7"/>
    <w:rsid w:val="002E4EFB"/>
    <w:rsid w:val="00323AF3"/>
    <w:rsid w:val="003C0107"/>
    <w:rsid w:val="003F299C"/>
    <w:rsid w:val="0044788B"/>
    <w:rsid w:val="00462E23"/>
    <w:rsid w:val="004B31E3"/>
    <w:rsid w:val="004D5810"/>
    <w:rsid w:val="00515C3A"/>
    <w:rsid w:val="005722B8"/>
    <w:rsid w:val="005A5555"/>
    <w:rsid w:val="005A7B4B"/>
    <w:rsid w:val="00612215"/>
    <w:rsid w:val="00614A6E"/>
    <w:rsid w:val="00675E74"/>
    <w:rsid w:val="006924CE"/>
    <w:rsid w:val="006A1B2A"/>
    <w:rsid w:val="0071595D"/>
    <w:rsid w:val="007333C3"/>
    <w:rsid w:val="007431E5"/>
    <w:rsid w:val="007831EB"/>
    <w:rsid w:val="007F1334"/>
    <w:rsid w:val="00827BC9"/>
    <w:rsid w:val="008352FF"/>
    <w:rsid w:val="008E781F"/>
    <w:rsid w:val="00A509E9"/>
    <w:rsid w:val="00A82D34"/>
    <w:rsid w:val="00A940D0"/>
    <w:rsid w:val="00B116E2"/>
    <w:rsid w:val="00B178F9"/>
    <w:rsid w:val="00B37125"/>
    <w:rsid w:val="00BD24ED"/>
    <w:rsid w:val="00BE51EE"/>
    <w:rsid w:val="00CB7DF3"/>
    <w:rsid w:val="00CF4B76"/>
    <w:rsid w:val="00D30EAE"/>
    <w:rsid w:val="00D551FE"/>
    <w:rsid w:val="00D82BAE"/>
    <w:rsid w:val="00DA28D8"/>
    <w:rsid w:val="00DD4B13"/>
    <w:rsid w:val="00E72AFD"/>
    <w:rsid w:val="00EC2A8B"/>
    <w:rsid w:val="00F220A2"/>
    <w:rsid w:val="00FD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064B"/>
  <w15:chartTrackingRefBased/>
  <w15:docId w15:val="{5385E5E2-4CD1-45D4-901F-407E50BD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042CC7"/>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CC7"/>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042CC7"/>
    <w:rPr>
      <w:rFonts w:ascii="Times New Roman" w:eastAsia="Times New Roman" w:hAnsi="Times New Roman" w:cs="Times New Roman"/>
      <w:b/>
      <w:bCs/>
      <w:szCs w:val="24"/>
    </w:rPr>
  </w:style>
  <w:style w:type="character" w:styleId="Hyperlink">
    <w:name w:val="Hyperlink"/>
    <w:basedOn w:val="DefaultParagraphFont"/>
    <w:uiPriority w:val="99"/>
    <w:unhideWhenUsed/>
    <w:rsid w:val="00D30EAE"/>
    <w:rPr>
      <w:color w:val="0563C1" w:themeColor="hyperlink"/>
      <w:u w:val="single"/>
    </w:rPr>
  </w:style>
  <w:style w:type="character" w:styleId="UnresolvedMention">
    <w:name w:val="Unresolved Mention"/>
    <w:basedOn w:val="DefaultParagraphFont"/>
    <w:uiPriority w:val="99"/>
    <w:semiHidden/>
    <w:unhideWhenUsed/>
    <w:rsid w:val="00D30EAE"/>
    <w:rPr>
      <w:color w:val="605E5C"/>
      <w:shd w:val="clear" w:color="auto" w:fill="E1DFDD"/>
    </w:rPr>
  </w:style>
  <w:style w:type="character" w:customStyle="1" w:styleId="titreblocktext">
    <w:name w:val="titre_block_text"/>
    <w:basedOn w:val="DefaultParagraphFont"/>
    <w:rsid w:val="00171319"/>
  </w:style>
  <w:style w:type="paragraph" w:styleId="ListParagraph">
    <w:name w:val="List Paragraph"/>
    <w:basedOn w:val="Normal"/>
    <w:link w:val="ListParagraphChar"/>
    <w:uiPriority w:val="34"/>
    <w:qFormat/>
    <w:rsid w:val="004B31E3"/>
    <w:pPr>
      <w:ind w:left="720"/>
      <w:contextualSpacing/>
    </w:pPr>
  </w:style>
  <w:style w:type="paragraph" w:styleId="FootnoteText">
    <w:name w:val="footnote text"/>
    <w:basedOn w:val="Normal"/>
    <w:link w:val="FootnoteTextChar"/>
    <w:uiPriority w:val="99"/>
    <w:semiHidden/>
    <w:unhideWhenUsed/>
    <w:rsid w:val="007F1334"/>
    <w:rPr>
      <w:rFonts w:ascii="Times New Roman" w:eastAsiaTheme="minorHAnsi" w:hAnsi="Times New Roman" w:cstheme="minorBidi"/>
      <w:sz w:val="20"/>
      <w:szCs w:val="20"/>
      <w:u w:val="single"/>
      <w:lang w:eastAsia="en-US"/>
    </w:rPr>
  </w:style>
  <w:style w:type="character" w:customStyle="1" w:styleId="FootnoteTextChar">
    <w:name w:val="Footnote Text Char"/>
    <w:basedOn w:val="DefaultParagraphFont"/>
    <w:link w:val="FootnoteText"/>
    <w:uiPriority w:val="99"/>
    <w:semiHidden/>
    <w:rsid w:val="007F1334"/>
    <w:rPr>
      <w:rFonts w:ascii="Times New Roman" w:eastAsiaTheme="minorHAnsi" w:hAnsi="Times New Roman" w:cstheme="minorBidi"/>
      <w:sz w:val="20"/>
      <w:szCs w:val="20"/>
      <w:u w:val="single"/>
      <w:lang w:eastAsia="en-US"/>
    </w:rPr>
  </w:style>
  <w:style w:type="character" w:styleId="FootnoteReference">
    <w:name w:val="footnote reference"/>
    <w:aliases w:val="Ref,de nota al pie"/>
    <w:basedOn w:val="DefaultParagraphFont"/>
    <w:uiPriority w:val="99"/>
    <w:unhideWhenUsed/>
    <w:rsid w:val="007F1334"/>
    <w:rPr>
      <w:vertAlign w:val="superscript"/>
    </w:rPr>
  </w:style>
  <w:style w:type="paragraph" w:styleId="Header">
    <w:name w:val="header"/>
    <w:basedOn w:val="Normal"/>
    <w:link w:val="HeaderChar"/>
    <w:uiPriority w:val="99"/>
    <w:unhideWhenUsed/>
    <w:rsid w:val="00515C3A"/>
    <w:pPr>
      <w:tabs>
        <w:tab w:val="center" w:pos="4680"/>
        <w:tab w:val="right" w:pos="9360"/>
      </w:tabs>
    </w:pPr>
  </w:style>
  <w:style w:type="character" w:customStyle="1" w:styleId="HeaderChar">
    <w:name w:val="Header Char"/>
    <w:basedOn w:val="DefaultParagraphFont"/>
    <w:link w:val="Header"/>
    <w:uiPriority w:val="99"/>
    <w:rsid w:val="00515C3A"/>
  </w:style>
  <w:style w:type="paragraph" w:styleId="Footer">
    <w:name w:val="footer"/>
    <w:basedOn w:val="Normal"/>
    <w:link w:val="FooterChar"/>
    <w:uiPriority w:val="99"/>
    <w:unhideWhenUsed/>
    <w:rsid w:val="00515C3A"/>
    <w:pPr>
      <w:tabs>
        <w:tab w:val="center" w:pos="4680"/>
        <w:tab w:val="right" w:pos="9360"/>
      </w:tabs>
    </w:pPr>
  </w:style>
  <w:style w:type="character" w:customStyle="1" w:styleId="FooterChar">
    <w:name w:val="Footer Char"/>
    <w:basedOn w:val="DefaultParagraphFont"/>
    <w:link w:val="Footer"/>
    <w:uiPriority w:val="99"/>
    <w:rsid w:val="00515C3A"/>
  </w:style>
  <w:style w:type="paragraph" w:customStyle="1" w:styleId="Default">
    <w:name w:val="Default"/>
    <w:rsid w:val="00515C3A"/>
    <w:pPr>
      <w:autoSpaceDE w:val="0"/>
      <w:autoSpaceDN w:val="0"/>
      <w:adjustRightInd w:val="0"/>
    </w:pPr>
    <w:rPr>
      <w:rFonts w:ascii="Calibri" w:hAnsi="Calibri" w:cs="Calibri"/>
      <w:color w:val="000000"/>
      <w:szCs w:val="24"/>
    </w:rPr>
  </w:style>
  <w:style w:type="character" w:customStyle="1" w:styleId="ListParagraphChar">
    <w:name w:val="List Paragraph Char"/>
    <w:link w:val="ListParagraph"/>
    <w:uiPriority w:val="34"/>
    <w:locked/>
    <w:rsid w:val="00E72AFD"/>
  </w:style>
  <w:style w:type="character" w:styleId="CommentReference">
    <w:name w:val="annotation reference"/>
    <w:basedOn w:val="DefaultParagraphFont"/>
    <w:uiPriority w:val="99"/>
    <w:semiHidden/>
    <w:unhideWhenUsed/>
    <w:rsid w:val="00B116E2"/>
    <w:rPr>
      <w:sz w:val="16"/>
      <w:szCs w:val="16"/>
    </w:rPr>
  </w:style>
  <w:style w:type="paragraph" w:styleId="CommentText">
    <w:name w:val="annotation text"/>
    <w:basedOn w:val="Normal"/>
    <w:link w:val="CommentTextChar"/>
    <w:uiPriority w:val="99"/>
    <w:semiHidden/>
    <w:unhideWhenUsed/>
    <w:rsid w:val="00B116E2"/>
    <w:rPr>
      <w:sz w:val="20"/>
      <w:szCs w:val="20"/>
    </w:rPr>
  </w:style>
  <w:style w:type="character" w:customStyle="1" w:styleId="CommentTextChar">
    <w:name w:val="Comment Text Char"/>
    <w:basedOn w:val="DefaultParagraphFont"/>
    <w:link w:val="CommentText"/>
    <w:uiPriority w:val="99"/>
    <w:semiHidden/>
    <w:rsid w:val="00B116E2"/>
    <w:rPr>
      <w:sz w:val="20"/>
      <w:szCs w:val="20"/>
    </w:rPr>
  </w:style>
  <w:style w:type="paragraph" w:styleId="CommentSubject">
    <w:name w:val="annotation subject"/>
    <w:basedOn w:val="CommentText"/>
    <w:next w:val="CommentText"/>
    <w:link w:val="CommentSubjectChar"/>
    <w:uiPriority w:val="99"/>
    <w:semiHidden/>
    <w:unhideWhenUsed/>
    <w:rsid w:val="00B116E2"/>
    <w:rPr>
      <w:b/>
      <w:bCs/>
    </w:rPr>
  </w:style>
  <w:style w:type="character" w:customStyle="1" w:styleId="CommentSubjectChar">
    <w:name w:val="Comment Subject Char"/>
    <w:basedOn w:val="CommentTextChar"/>
    <w:link w:val="CommentSubject"/>
    <w:uiPriority w:val="99"/>
    <w:semiHidden/>
    <w:rsid w:val="00B116E2"/>
    <w:rPr>
      <w:b/>
      <w:bCs/>
      <w:sz w:val="20"/>
      <w:szCs w:val="20"/>
    </w:rPr>
  </w:style>
  <w:style w:type="paragraph" w:styleId="BalloonText">
    <w:name w:val="Balloon Text"/>
    <w:basedOn w:val="Normal"/>
    <w:link w:val="BalloonTextChar"/>
    <w:uiPriority w:val="99"/>
    <w:semiHidden/>
    <w:unhideWhenUsed/>
    <w:rsid w:val="00B11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3394">
      <w:bodyDiv w:val="1"/>
      <w:marLeft w:val="0"/>
      <w:marRight w:val="0"/>
      <w:marTop w:val="0"/>
      <w:marBottom w:val="0"/>
      <w:divBdr>
        <w:top w:val="none" w:sz="0" w:space="0" w:color="auto"/>
        <w:left w:val="none" w:sz="0" w:space="0" w:color="auto"/>
        <w:bottom w:val="none" w:sz="0" w:space="0" w:color="auto"/>
        <w:right w:val="none" w:sz="0" w:space="0" w:color="auto"/>
      </w:divBdr>
    </w:div>
    <w:div w:id="1015959542">
      <w:bodyDiv w:val="1"/>
      <w:marLeft w:val="0"/>
      <w:marRight w:val="0"/>
      <w:marTop w:val="0"/>
      <w:marBottom w:val="0"/>
      <w:divBdr>
        <w:top w:val="none" w:sz="0" w:space="0" w:color="auto"/>
        <w:left w:val="none" w:sz="0" w:space="0" w:color="auto"/>
        <w:bottom w:val="none" w:sz="0" w:space="0" w:color="auto"/>
        <w:right w:val="none" w:sz="0" w:space="0" w:color="auto"/>
      </w:divBdr>
    </w:div>
    <w:div w:id="1312711002">
      <w:bodyDiv w:val="1"/>
      <w:marLeft w:val="0"/>
      <w:marRight w:val="0"/>
      <w:marTop w:val="0"/>
      <w:marBottom w:val="0"/>
      <w:divBdr>
        <w:top w:val="none" w:sz="0" w:space="0" w:color="auto"/>
        <w:left w:val="none" w:sz="0" w:space="0" w:color="auto"/>
        <w:bottom w:val="none" w:sz="0" w:space="0" w:color="auto"/>
        <w:right w:val="none" w:sz="0" w:space="0" w:color="auto"/>
      </w:divBdr>
    </w:div>
    <w:div w:id="18242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gb/ebwha/pdf_files/EB144/B144_1-en.pdf" TargetMode="External"/><Relationship Id="rId13" Type="http://schemas.openxmlformats.org/officeDocument/2006/relationships/hyperlink" Target="http://apps.who.int/gb/ebwha/pdf_files/EB146/B146_7Add1-en.pdf" TargetMode="External"/><Relationship Id="rId18" Type="http://schemas.openxmlformats.org/officeDocument/2006/relationships/hyperlink" Target="http://apps.who.int/gb/ebwha/pdf_files/EB146/B146_33-en.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apps.who.int/gb/ebwha/pdf_files/EB146/B146_7-en.pdf" TargetMode="External"/><Relationship Id="rId17" Type="http://schemas.openxmlformats.org/officeDocument/2006/relationships/hyperlink" Target="http://apps.who.int/gb/ebwha/pdf_files/EB146/B146_25-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en/ga/search/view_doc.asp?symbol=A/RES/73/2" TargetMode="External"/><Relationship Id="rId20" Type="http://schemas.openxmlformats.org/officeDocument/2006/relationships/hyperlink" Target="http://apps.who.int/gb/ebwha/pdf_files/EB146/B146_35-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73/L.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ps.who.int/gb/ebwha/pdf_files/EB146/B146_25-en.pdf" TargetMode="External"/><Relationship Id="rId23" Type="http://schemas.microsoft.com/office/2016/09/relationships/commentsIds" Target="commentsIds.xml"/><Relationship Id="rId10" Type="http://schemas.openxmlformats.org/officeDocument/2006/relationships/hyperlink" Target="http://apps.who.int/gb/ebwha/pdf_files/EB146/B146_15-en.pdf" TargetMode="External"/><Relationship Id="rId19" Type="http://schemas.openxmlformats.org/officeDocument/2006/relationships/hyperlink" Target="http://apps.who.int/gb/ebwha/pdf_files/EB146/B146_34-en.pdf" TargetMode="External"/><Relationship Id="rId4" Type="http://schemas.openxmlformats.org/officeDocument/2006/relationships/settings" Target="settings.xml"/><Relationship Id="rId9" Type="http://schemas.openxmlformats.org/officeDocument/2006/relationships/hyperlink" Target="http://apps.who.int/gb/e/e_eb144.html" TargetMode="External"/><Relationship Id="rId14" Type="http://schemas.openxmlformats.org/officeDocument/2006/relationships/hyperlink" Target="http://apps.who.int/gb/ebwha/pdf_files/EB146/B146_24-en.pdf" TargetMode="External"/><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6B13-3468-426A-85A0-4DA5263D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Ong</dc:creator>
  <cp:keywords/>
  <dc:description/>
  <cp:lastModifiedBy>Ryan Ong</cp:lastModifiedBy>
  <cp:revision>3</cp:revision>
  <dcterms:created xsi:type="dcterms:W3CDTF">2020-01-28T22:24:00Z</dcterms:created>
  <dcterms:modified xsi:type="dcterms:W3CDTF">2020-01-28T22:27:00Z</dcterms:modified>
</cp:coreProperties>
</file>